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C61A5" w14:textId="77777777" w:rsidR="009D2117" w:rsidRPr="003C5914" w:rsidRDefault="009D2117" w:rsidP="003C5914">
      <w:pPr>
        <w:rPr>
          <w:rFonts w:ascii="Times New Roman" w:hAnsi="Times New Roman" w:cs="Times New Roman"/>
        </w:rPr>
      </w:pPr>
    </w:p>
    <w:p w14:paraId="4A0D934A" w14:textId="04EDF574" w:rsidR="009D2117" w:rsidRPr="003C5914" w:rsidRDefault="009D2117" w:rsidP="003C5914">
      <w:pPr>
        <w:rPr>
          <w:rFonts w:ascii="Times New Roman" w:hAnsi="Times New Roman" w:cs="Times New Roman"/>
        </w:rPr>
      </w:pPr>
      <w:r w:rsidRPr="003C5914">
        <w:rPr>
          <w:rFonts w:ascii="Times New Roman" w:hAnsi="Times New Roman" w:cs="Times New Roman"/>
          <w:noProof/>
        </w:rPr>
        <w:drawing>
          <wp:inline distT="0" distB="0" distL="0" distR="0" wp14:anchorId="34AF34BE" wp14:editId="40872495">
            <wp:extent cx="1450975" cy="1322705"/>
            <wp:effectExtent l="0" t="0" r="0" b="0"/>
            <wp:docPr id="954875466" name="Picture 1" descr="A logo with a tree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875466" name="Picture 1" descr="A logo with a tree and text&#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50975" cy="1322705"/>
                    </a:xfrm>
                    <a:prstGeom prst="rect">
                      <a:avLst/>
                    </a:prstGeom>
                    <a:noFill/>
                  </pic:spPr>
                </pic:pic>
              </a:graphicData>
            </a:graphic>
          </wp:inline>
        </w:drawing>
      </w:r>
      <w:r w:rsidR="00682289" w:rsidRPr="003C5914">
        <w:rPr>
          <w:rFonts w:ascii="Times New Roman" w:hAnsi="Times New Roman" w:cs="Times New Roman"/>
          <w:noProof/>
        </w:rPr>
        <w:t xml:space="preserve">                                   </w:t>
      </w:r>
      <w:r w:rsidRPr="003C5914">
        <w:rPr>
          <w:rFonts w:ascii="Times New Roman" w:hAnsi="Times New Roman" w:cs="Times New Roman"/>
          <w:noProof/>
        </w:rPr>
        <w:drawing>
          <wp:inline distT="0" distB="0" distL="0" distR="0" wp14:anchorId="15D63814" wp14:editId="2D305EF3">
            <wp:extent cx="2694940" cy="969645"/>
            <wp:effectExtent l="0" t="0" r="0" b="1905"/>
            <wp:docPr id="1146884459"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6884459" name="Picture 1" descr="A logo with text on i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94940" cy="969645"/>
                    </a:xfrm>
                    <a:prstGeom prst="rect">
                      <a:avLst/>
                    </a:prstGeom>
                    <a:noFill/>
                  </pic:spPr>
                </pic:pic>
              </a:graphicData>
            </a:graphic>
          </wp:inline>
        </w:drawing>
      </w:r>
    </w:p>
    <w:p w14:paraId="560F185F" w14:textId="77777777" w:rsidR="009D2117" w:rsidRPr="003C5914" w:rsidRDefault="009D2117" w:rsidP="003C5914">
      <w:pPr>
        <w:rPr>
          <w:rFonts w:ascii="Times New Roman" w:hAnsi="Times New Roman" w:cs="Times New Roman"/>
        </w:rPr>
      </w:pPr>
    </w:p>
    <w:p w14:paraId="19C9AD38" w14:textId="77777777" w:rsidR="009D2117" w:rsidRPr="003C5914" w:rsidRDefault="009D2117" w:rsidP="003C5914">
      <w:pPr>
        <w:rPr>
          <w:rFonts w:ascii="Times New Roman" w:hAnsi="Times New Roman" w:cs="Times New Roman"/>
        </w:rPr>
      </w:pPr>
    </w:p>
    <w:p w14:paraId="2E51724B" w14:textId="7A6CC843" w:rsidR="00682289" w:rsidRPr="003C5914" w:rsidRDefault="00682289" w:rsidP="003C5914">
      <w:pPr>
        <w:rPr>
          <w:rFonts w:ascii="Times New Roman" w:hAnsi="Times New Roman" w:cs="Times New Roman"/>
          <w:kern w:val="2"/>
          <w14:ligatures w14:val="standardContextual"/>
        </w:rPr>
      </w:pPr>
      <w:r w:rsidRPr="003C5914">
        <w:rPr>
          <w:rFonts w:ascii="Times New Roman" w:hAnsi="Times New Roman" w:cs="Times New Roman"/>
          <w:kern w:val="2"/>
          <w14:ligatures w14:val="standardContextual"/>
        </w:rPr>
        <w:t>March 2</w:t>
      </w:r>
      <w:r w:rsidR="00012B94" w:rsidRPr="003C5914">
        <w:rPr>
          <w:rFonts w:ascii="Times New Roman" w:hAnsi="Times New Roman" w:cs="Times New Roman"/>
          <w:kern w:val="2"/>
          <w14:ligatures w14:val="standardContextual"/>
        </w:rPr>
        <w:t>5</w:t>
      </w:r>
      <w:r w:rsidRPr="003C5914">
        <w:rPr>
          <w:rFonts w:ascii="Times New Roman" w:hAnsi="Times New Roman" w:cs="Times New Roman"/>
          <w:kern w:val="2"/>
          <w14:ligatures w14:val="standardContextual"/>
        </w:rPr>
        <w:t>, 2024</w:t>
      </w:r>
    </w:p>
    <w:p w14:paraId="5D86443C" w14:textId="77777777" w:rsidR="00AB2BE6" w:rsidRPr="003C5914" w:rsidRDefault="00AB2BE6" w:rsidP="003C5914">
      <w:pPr>
        <w:rPr>
          <w:rFonts w:ascii="Times New Roman" w:hAnsi="Times New Roman" w:cs="Times New Roman"/>
          <w:kern w:val="2"/>
          <w14:ligatures w14:val="standardContextual"/>
        </w:rPr>
      </w:pPr>
    </w:p>
    <w:p w14:paraId="55254484" w14:textId="2F4E896A" w:rsidR="00AB2BE6" w:rsidRPr="003C5914" w:rsidRDefault="00AB2BE6" w:rsidP="000D3D46">
      <w:pPr>
        <w:rPr>
          <w:rFonts w:ascii="Times New Roman" w:hAnsi="Times New Roman" w:cs="Times New Roman"/>
          <w:kern w:val="2"/>
          <w14:ligatures w14:val="standardContextual"/>
        </w:rPr>
      </w:pPr>
      <w:r w:rsidRPr="003C5914">
        <w:rPr>
          <w:rFonts w:ascii="Times New Roman" w:hAnsi="Times New Roman" w:cs="Times New Roman"/>
          <w:kern w:val="2"/>
          <w14:ligatures w14:val="standardContextual"/>
        </w:rPr>
        <w:t>Jason Kuiken</w:t>
      </w:r>
    </w:p>
    <w:p w14:paraId="0EED6182" w14:textId="5EEA6C84" w:rsidR="00AB2BE6" w:rsidRPr="003C5914" w:rsidRDefault="00AB2BE6" w:rsidP="000D3D46">
      <w:pPr>
        <w:rPr>
          <w:rFonts w:ascii="Times New Roman" w:hAnsi="Times New Roman" w:cs="Times New Roman"/>
          <w:kern w:val="2"/>
          <w14:ligatures w14:val="standardContextual"/>
        </w:rPr>
      </w:pPr>
      <w:r w:rsidRPr="003C5914">
        <w:rPr>
          <w:rFonts w:ascii="Times New Roman" w:hAnsi="Times New Roman" w:cs="Times New Roman"/>
          <w:kern w:val="2"/>
          <w14:ligatures w14:val="standardContextual"/>
        </w:rPr>
        <w:t>Stanislaus National Forest</w:t>
      </w:r>
    </w:p>
    <w:p w14:paraId="48BE2E72" w14:textId="77777777" w:rsidR="00AB2BE6" w:rsidRPr="003C5914" w:rsidRDefault="00AB2BE6" w:rsidP="003C5914">
      <w:pPr>
        <w:rPr>
          <w:rFonts w:ascii="Times New Roman" w:hAnsi="Times New Roman" w:cs="Times New Roman"/>
          <w:kern w:val="2"/>
          <w14:ligatures w14:val="standardContextual"/>
        </w:rPr>
      </w:pPr>
      <w:r w:rsidRPr="003C5914">
        <w:rPr>
          <w:rFonts w:ascii="Times New Roman" w:hAnsi="Times New Roman" w:cs="Times New Roman"/>
          <w:kern w:val="2"/>
          <w14:ligatures w14:val="standardContextual"/>
        </w:rPr>
        <w:t xml:space="preserve">19777 Greenley Road </w:t>
      </w:r>
    </w:p>
    <w:p w14:paraId="4744381E" w14:textId="1D6F0FCF" w:rsidR="00AB2BE6" w:rsidRPr="003C5914" w:rsidRDefault="00AB2BE6" w:rsidP="000D3D46">
      <w:pPr>
        <w:rPr>
          <w:rFonts w:ascii="Times New Roman" w:hAnsi="Times New Roman" w:cs="Times New Roman"/>
          <w:kern w:val="2"/>
          <w14:ligatures w14:val="standardContextual"/>
        </w:rPr>
      </w:pPr>
      <w:r w:rsidRPr="003C5914">
        <w:rPr>
          <w:rFonts w:ascii="Times New Roman" w:hAnsi="Times New Roman" w:cs="Times New Roman"/>
          <w:kern w:val="2"/>
          <w14:ligatures w14:val="standardContextual"/>
        </w:rPr>
        <w:t>Sonora, CA 95370</w:t>
      </w:r>
    </w:p>
    <w:p w14:paraId="5B3B8776" w14:textId="77777777" w:rsidR="00AB2BE6" w:rsidRPr="003C5914" w:rsidRDefault="00AB2BE6" w:rsidP="003C5914">
      <w:pPr>
        <w:rPr>
          <w:rFonts w:ascii="Times New Roman" w:hAnsi="Times New Roman" w:cs="Times New Roman"/>
          <w:kern w:val="2"/>
          <w14:ligatures w14:val="standardContextual"/>
        </w:rPr>
      </w:pPr>
    </w:p>
    <w:p w14:paraId="059A8104" w14:textId="6962888A" w:rsidR="00682289" w:rsidRPr="003C5914" w:rsidRDefault="00682289" w:rsidP="000D3D46">
      <w:pPr>
        <w:ind w:left="720" w:hanging="720"/>
        <w:rPr>
          <w:rFonts w:ascii="Times New Roman" w:hAnsi="Times New Roman" w:cs="Times New Roman"/>
          <w:kern w:val="2"/>
          <w14:ligatures w14:val="standardContextual"/>
        </w:rPr>
      </w:pPr>
      <w:r w:rsidRPr="003C5914">
        <w:rPr>
          <w:rFonts w:ascii="Times New Roman" w:hAnsi="Times New Roman" w:cs="Times New Roman"/>
          <w:kern w:val="2"/>
          <w14:ligatures w14:val="standardContextual"/>
        </w:rPr>
        <w:t xml:space="preserve">RE: </w:t>
      </w:r>
      <w:r w:rsidR="003C5914">
        <w:rPr>
          <w:rFonts w:ascii="Times New Roman" w:hAnsi="Times New Roman" w:cs="Times New Roman"/>
          <w:kern w:val="2"/>
          <w14:ligatures w14:val="standardContextual"/>
        </w:rPr>
        <w:tab/>
      </w:r>
      <w:r w:rsidRPr="003C5914">
        <w:rPr>
          <w:rFonts w:ascii="Times New Roman" w:hAnsi="Times New Roman" w:cs="Times New Roman"/>
          <w:kern w:val="2"/>
          <w14:ligatures w14:val="standardContextual"/>
        </w:rPr>
        <w:t xml:space="preserve">Stanislaus National Forest (NF) </w:t>
      </w:r>
      <w:r w:rsidR="00012B94" w:rsidRPr="003C5914">
        <w:rPr>
          <w:rFonts w:ascii="Times New Roman" w:hAnsi="Times New Roman" w:cs="Times New Roman"/>
          <w:color w:val="1B1B1B"/>
          <w:shd w:val="clear" w:color="auto" w:fill="FFFFFF"/>
        </w:rPr>
        <w:t>comments on the Social and Ecological Resilience Across the Landscape2.0 (SERAL2.0) Draft Environmental Impact Statement</w:t>
      </w:r>
    </w:p>
    <w:p w14:paraId="54B13080" w14:textId="5017222D" w:rsidR="00AB2BE6" w:rsidRPr="003C5914" w:rsidRDefault="00AB2BE6" w:rsidP="003C5914">
      <w:pPr>
        <w:rPr>
          <w:rFonts w:ascii="Times New Roman" w:hAnsi="Times New Roman" w:cs="Times New Roman"/>
          <w:kern w:val="2"/>
          <w14:ligatures w14:val="standardContextual"/>
        </w:rPr>
      </w:pPr>
      <w:r w:rsidRPr="003C5914">
        <w:rPr>
          <w:rFonts w:ascii="Times New Roman" w:hAnsi="Times New Roman" w:cs="Times New Roman"/>
          <w:kern w:val="2"/>
          <w14:ligatures w14:val="standardContextual"/>
        </w:rPr>
        <w:t>Dear Mr. Kuiken</w:t>
      </w:r>
      <w:r w:rsidR="003C5914" w:rsidRPr="003C5914">
        <w:rPr>
          <w:rFonts w:ascii="Times New Roman" w:hAnsi="Times New Roman" w:cs="Times New Roman"/>
          <w:kern w:val="2"/>
          <w14:ligatures w14:val="standardContextual"/>
        </w:rPr>
        <w:t>:</w:t>
      </w:r>
    </w:p>
    <w:p w14:paraId="1DCD9D75" w14:textId="77777777" w:rsidR="003C5914" w:rsidRDefault="003C5914" w:rsidP="003C5914">
      <w:pPr>
        <w:rPr>
          <w:rFonts w:ascii="Times New Roman" w:hAnsi="Times New Roman" w:cs="Times New Roman"/>
          <w:kern w:val="2"/>
          <w14:ligatures w14:val="standardContextual"/>
        </w:rPr>
      </w:pPr>
    </w:p>
    <w:p w14:paraId="5BFE72A6" w14:textId="0251F917" w:rsidR="003C5914" w:rsidRPr="003C5914" w:rsidRDefault="003C5914" w:rsidP="003C5914">
      <w:pPr>
        <w:rPr>
          <w:rFonts w:ascii="Times New Roman" w:hAnsi="Times New Roman" w:cs="Times New Roman"/>
          <w:kern w:val="2"/>
          <w14:ligatures w14:val="standardContextual"/>
        </w:rPr>
      </w:pPr>
      <w:r w:rsidRPr="003C5914">
        <w:rPr>
          <w:rFonts w:ascii="Times New Roman" w:hAnsi="Times New Roman" w:cs="Times New Roman"/>
          <w:kern w:val="2"/>
          <w14:ligatures w14:val="standardContextual"/>
        </w:rPr>
        <w:t xml:space="preserve">The comments below are submitted on behalf of the American Forest Resource Council (AFRC) and California Forestry Association (Calforests). </w:t>
      </w:r>
    </w:p>
    <w:p w14:paraId="4B812B7C" w14:textId="77777777" w:rsidR="003C5914" w:rsidRPr="003C5914" w:rsidRDefault="003C5914" w:rsidP="003C5914">
      <w:pPr>
        <w:rPr>
          <w:rFonts w:ascii="Times New Roman" w:hAnsi="Times New Roman" w:cs="Times New Roman"/>
          <w:kern w:val="2"/>
          <w14:ligatures w14:val="standardContextual"/>
        </w:rPr>
      </w:pPr>
    </w:p>
    <w:p w14:paraId="13541ACC" w14:textId="529735CD" w:rsidR="00682289" w:rsidRDefault="00682289" w:rsidP="003C5914">
      <w:pPr>
        <w:rPr>
          <w:rFonts w:ascii="Times New Roman" w:hAnsi="Times New Roman" w:cs="Times New Roman"/>
          <w:kern w:val="2"/>
          <w14:ligatures w14:val="standardContextual"/>
        </w:rPr>
      </w:pPr>
      <w:r w:rsidRPr="003C5914">
        <w:rPr>
          <w:rFonts w:ascii="Times New Roman" w:hAnsi="Times New Roman" w:cs="Times New Roman"/>
          <w:kern w:val="2"/>
          <w14:ligatures w14:val="standardContextual"/>
        </w:rPr>
        <w:t>AFRC is a regional trade association whose purpose is to advocate for sustained-yield timber harvests on public timberlands throughout the West to enhance forest health and resistance to fire, insects, and disease. AFRC promotes active management to attain productive public forests, protect the value and integrity of adjoining private forests, and assure community stability. We work to improve federal and state laws, regulations, policies, and decisions regarding access to and management of public forest lands and protection of all forest lands. AFRC represents over 50 forest product businesses and forest landowners throughout California, Idaho, Montana, Oregon, Washington</w:t>
      </w:r>
      <w:r w:rsidR="003C5914">
        <w:rPr>
          <w:rFonts w:ascii="Times New Roman" w:hAnsi="Times New Roman" w:cs="Times New Roman"/>
          <w:kern w:val="2"/>
          <w14:ligatures w14:val="standardContextual"/>
        </w:rPr>
        <w:t>, and Nevada</w:t>
      </w:r>
      <w:r w:rsidRPr="003C5914">
        <w:rPr>
          <w:rFonts w:ascii="Times New Roman" w:hAnsi="Times New Roman" w:cs="Times New Roman"/>
          <w:kern w:val="2"/>
          <w14:ligatures w14:val="standardContextual"/>
        </w:rPr>
        <w:t xml:space="preserve">. These businesses provide tens of thousands of family-wage jobs in rural communities. </w:t>
      </w:r>
    </w:p>
    <w:p w14:paraId="56CF1A65" w14:textId="77777777" w:rsidR="003C5914" w:rsidRPr="003C5914" w:rsidRDefault="003C5914" w:rsidP="003C5914">
      <w:pPr>
        <w:rPr>
          <w:rFonts w:ascii="Times New Roman" w:hAnsi="Times New Roman" w:cs="Times New Roman"/>
          <w:kern w:val="2"/>
          <w14:ligatures w14:val="standardContextual"/>
        </w:rPr>
      </w:pPr>
    </w:p>
    <w:p w14:paraId="1C94BB42" w14:textId="77777777" w:rsidR="00682289" w:rsidRPr="003C5914" w:rsidRDefault="00682289" w:rsidP="003C5914">
      <w:pPr>
        <w:ind w:left="2"/>
        <w:rPr>
          <w:rFonts w:ascii="Times New Roman" w:hAnsi="Times New Roman" w:cs="Times New Roman"/>
          <w:kern w:val="2"/>
          <w14:ligatures w14:val="standardContextual"/>
        </w:rPr>
      </w:pPr>
      <w:r w:rsidRPr="003C5914">
        <w:rPr>
          <w:rFonts w:ascii="Times New Roman" w:hAnsi="Times New Roman" w:cs="Times New Roman"/>
          <w:kern w:val="2"/>
          <w14:ligatures w14:val="standardContextual"/>
        </w:rPr>
        <w:t>Calforests consists of private industrial forest owners, managers, and woods operators, as well as sawmills, veneer mills, and several biomass powerplants. Our members are committed to sustainable management of our private forest resources and supporting active forest management of National Forests within California. Much of California’s forestry infrastructure is partially dependent on wood supply from the National Forests. Calforests actively promotes sustainable National Forest management providing healthy forests that are resistant to natural disturbances.</w:t>
      </w:r>
    </w:p>
    <w:p w14:paraId="791DA28E" w14:textId="77777777" w:rsidR="003C5914" w:rsidRDefault="003C5914" w:rsidP="003C5914">
      <w:pPr>
        <w:rPr>
          <w:rFonts w:ascii="Times New Roman" w:hAnsi="Times New Roman" w:cs="Times New Roman"/>
        </w:rPr>
      </w:pPr>
    </w:p>
    <w:p w14:paraId="17E7AFD6" w14:textId="4FE757BC" w:rsidR="00682289" w:rsidRPr="003C5914" w:rsidRDefault="00682289" w:rsidP="003C5914">
      <w:pPr>
        <w:rPr>
          <w:rFonts w:ascii="Times New Roman" w:hAnsi="Times New Roman" w:cs="Times New Roman"/>
        </w:rPr>
      </w:pPr>
      <w:r w:rsidRPr="003C5914">
        <w:rPr>
          <w:rFonts w:ascii="Times New Roman" w:hAnsi="Times New Roman" w:cs="Times New Roman"/>
        </w:rPr>
        <w:t xml:space="preserve">The comments </w:t>
      </w:r>
      <w:r w:rsidR="00845CDA" w:rsidRPr="003C5914">
        <w:rPr>
          <w:rFonts w:ascii="Times New Roman" w:hAnsi="Times New Roman" w:cs="Times New Roman"/>
        </w:rPr>
        <w:t xml:space="preserve">below </w:t>
      </w:r>
      <w:r w:rsidRPr="003C5914">
        <w:rPr>
          <w:rFonts w:ascii="Times New Roman" w:hAnsi="Times New Roman" w:cs="Times New Roman"/>
        </w:rPr>
        <w:t>are provided following specific section heads from the Table of Contents</w:t>
      </w:r>
      <w:r w:rsidR="00845CDA" w:rsidRPr="003C5914">
        <w:rPr>
          <w:rFonts w:ascii="Times New Roman" w:hAnsi="Times New Roman" w:cs="Times New Roman"/>
        </w:rPr>
        <w:t>, chapters 1-4,</w:t>
      </w:r>
      <w:r w:rsidRPr="003C5914">
        <w:rPr>
          <w:rFonts w:ascii="Times New Roman" w:hAnsi="Times New Roman" w:cs="Times New Roman"/>
        </w:rPr>
        <w:t xml:space="preserve"> of the DEIS.</w:t>
      </w:r>
    </w:p>
    <w:p w14:paraId="1CF7B4B3" w14:textId="43C240A4" w:rsidR="00682289" w:rsidRPr="003C5914" w:rsidRDefault="00682289" w:rsidP="003C5914">
      <w:pPr>
        <w:rPr>
          <w:rFonts w:ascii="Times New Roman" w:hAnsi="Times New Roman" w:cs="Times New Roman"/>
          <w:b/>
          <w:bCs/>
        </w:rPr>
      </w:pPr>
      <w:r w:rsidRPr="003C5914">
        <w:rPr>
          <w:rFonts w:ascii="Times New Roman" w:hAnsi="Times New Roman" w:cs="Times New Roman"/>
          <w:b/>
          <w:bCs/>
        </w:rPr>
        <w:t>Purpose and Need</w:t>
      </w:r>
    </w:p>
    <w:p w14:paraId="2C3AE7A3" w14:textId="4401DF20" w:rsidR="00642737" w:rsidRDefault="00C10E7D" w:rsidP="003C5914">
      <w:pPr>
        <w:rPr>
          <w:rFonts w:ascii="Times New Roman" w:hAnsi="Times New Roman" w:cs="Times New Roman"/>
        </w:rPr>
      </w:pPr>
      <w:r w:rsidRPr="003C5914">
        <w:rPr>
          <w:rFonts w:ascii="Times New Roman" w:hAnsi="Times New Roman" w:cs="Times New Roman"/>
        </w:rPr>
        <w:t>The Overview &amp; Purpose &amp; Need statements are good descriptions of the problems the Stanislaus N</w:t>
      </w:r>
      <w:r w:rsidR="003C5914">
        <w:rPr>
          <w:rFonts w:ascii="Times New Roman" w:hAnsi="Times New Roman" w:cs="Times New Roman"/>
        </w:rPr>
        <w:t xml:space="preserve">ational </w:t>
      </w:r>
      <w:r w:rsidRPr="003C5914">
        <w:rPr>
          <w:rFonts w:ascii="Times New Roman" w:hAnsi="Times New Roman" w:cs="Times New Roman"/>
        </w:rPr>
        <w:t>F</w:t>
      </w:r>
      <w:r w:rsidR="003C5914">
        <w:rPr>
          <w:rFonts w:ascii="Times New Roman" w:hAnsi="Times New Roman" w:cs="Times New Roman"/>
        </w:rPr>
        <w:t>orest</w:t>
      </w:r>
      <w:r w:rsidR="002F71EF" w:rsidRPr="003C5914">
        <w:rPr>
          <w:rFonts w:ascii="Times New Roman" w:hAnsi="Times New Roman" w:cs="Times New Roman"/>
        </w:rPr>
        <w:t xml:space="preserve"> faces and</w:t>
      </w:r>
      <w:r w:rsidRPr="003C5914">
        <w:rPr>
          <w:rFonts w:ascii="Times New Roman" w:hAnsi="Times New Roman" w:cs="Times New Roman"/>
        </w:rPr>
        <w:t xml:space="preserve"> </w:t>
      </w:r>
      <w:proofErr w:type="gramStart"/>
      <w:r w:rsidR="00E8381A" w:rsidRPr="003C5914">
        <w:rPr>
          <w:rFonts w:ascii="Times New Roman" w:hAnsi="Times New Roman" w:cs="Times New Roman"/>
        </w:rPr>
        <w:t>provide</w:t>
      </w:r>
      <w:r w:rsidR="003C5914">
        <w:rPr>
          <w:rFonts w:ascii="Times New Roman" w:hAnsi="Times New Roman" w:cs="Times New Roman"/>
        </w:rPr>
        <w:t>s</w:t>
      </w:r>
      <w:proofErr w:type="gramEnd"/>
      <w:r w:rsidR="00682289" w:rsidRPr="003C5914">
        <w:rPr>
          <w:rFonts w:ascii="Times New Roman" w:hAnsi="Times New Roman" w:cs="Times New Roman"/>
        </w:rPr>
        <w:t xml:space="preserve"> </w:t>
      </w:r>
      <w:r w:rsidR="00692128" w:rsidRPr="003C5914">
        <w:rPr>
          <w:rFonts w:ascii="Times New Roman" w:hAnsi="Times New Roman" w:cs="Times New Roman"/>
        </w:rPr>
        <w:t xml:space="preserve">an excellent list of complimentary objectives </w:t>
      </w:r>
      <w:r w:rsidR="002F71EF" w:rsidRPr="003C5914">
        <w:rPr>
          <w:rFonts w:ascii="Times New Roman" w:hAnsi="Times New Roman" w:cs="Times New Roman"/>
        </w:rPr>
        <w:t xml:space="preserve">to </w:t>
      </w:r>
      <w:r w:rsidR="002F71EF" w:rsidRPr="003C5914">
        <w:rPr>
          <w:rFonts w:ascii="Times New Roman" w:hAnsi="Times New Roman" w:cs="Times New Roman"/>
        </w:rPr>
        <w:lastRenderedPageBreak/>
        <w:t>respond</w:t>
      </w:r>
      <w:r w:rsidR="003C5914">
        <w:rPr>
          <w:rFonts w:ascii="Times New Roman" w:hAnsi="Times New Roman" w:cs="Times New Roman"/>
        </w:rPr>
        <w:t xml:space="preserve"> to</w:t>
      </w:r>
      <w:r w:rsidR="00E8381A" w:rsidRPr="003C5914">
        <w:rPr>
          <w:rFonts w:ascii="Times New Roman" w:hAnsi="Times New Roman" w:cs="Times New Roman"/>
        </w:rPr>
        <w:t xml:space="preserve">. </w:t>
      </w:r>
      <w:r w:rsidR="003C5914" w:rsidRPr="003C5914">
        <w:rPr>
          <w:rFonts w:ascii="Times New Roman" w:hAnsi="Times New Roman" w:cs="Times New Roman"/>
        </w:rPr>
        <w:t>(DEIS, p. 14)</w:t>
      </w:r>
      <w:r w:rsidR="003C5914">
        <w:rPr>
          <w:rFonts w:ascii="Times New Roman" w:hAnsi="Times New Roman" w:cs="Times New Roman"/>
        </w:rPr>
        <w:t xml:space="preserve">. </w:t>
      </w:r>
      <w:r w:rsidR="003C5914" w:rsidRPr="003C5914">
        <w:rPr>
          <w:rFonts w:ascii="Times New Roman" w:hAnsi="Times New Roman" w:cs="Times New Roman"/>
        </w:rPr>
        <w:t xml:space="preserve"> </w:t>
      </w:r>
      <w:r w:rsidR="002F71EF" w:rsidRPr="003C5914">
        <w:rPr>
          <w:rFonts w:ascii="Times New Roman" w:hAnsi="Times New Roman" w:cs="Times New Roman"/>
        </w:rPr>
        <w:t>W</w:t>
      </w:r>
      <w:r w:rsidR="00682289" w:rsidRPr="003C5914">
        <w:rPr>
          <w:rFonts w:ascii="Times New Roman" w:hAnsi="Times New Roman" w:cs="Times New Roman"/>
        </w:rPr>
        <w:t xml:space="preserve">e </w:t>
      </w:r>
      <w:r w:rsidR="002F71EF" w:rsidRPr="003C5914">
        <w:rPr>
          <w:rFonts w:ascii="Times New Roman" w:hAnsi="Times New Roman" w:cs="Times New Roman"/>
        </w:rPr>
        <w:t xml:space="preserve">support </w:t>
      </w:r>
      <w:r w:rsidRPr="003C5914">
        <w:rPr>
          <w:rFonts w:ascii="Times New Roman" w:hAnsi="Times New Roman" w:cs="Times New Roman"/>
        </w:rPr>
        <w:t xml:space="preserve">the proposed action </w:t>
      </w:r>
      <w:r w:rsidR="002F71EF" w:rsidRPr="003C5914">
        <w:rPr>
          <w:rFonts w:ascii="Times New Roman" w:hAnsi="Times New Roman" w:cs="Times New Roman"/>
        </w:rPr>
        <w:t xml:space="preserve">of </w:t>
      </w:r>
      <w:r w:rsidR="004E6167" w:rsidRPr="003C5914">
        <w:rPr>
          <w:rFonts w:ascii="Times New Roman" w:hAnsi="Times New Roman" w:cs="Times New Roman"/>
        </w:rPr>
        <w:t>adding condition-based analysis for timber salvage</w:t>
      </w:r>
      <w:r w:rsidR="00E8381A" w:rsidRPr="003C5914">
        <w:rPr>
          <w:rFonts w:ascii="Times New Roman" w:hAnsi="Times New Roman" w:cs="Times New Roman"/>
        </w:rPr>
        <w:t xml:space="preserve">. </w:t>
      </w:r>
      <w:r w:rsidR="002F71EF" w:rsidRPr="003C5914">
        <w:rPr>
          <w:rFonts w:ascii="Times New Roman" w:hAnsi="Times New Roman" w:cs="Times New Roman"/>
        </w:rPr>
        <w:t>We also believe some attention to carbon sequestration is relevant and should be included particularly the negative effect of mortality.</w:t>
      </w:r>
    </w:p>
    <w:p w14:paraId="5F76C1F8" w14:textId="77777777" w:rsidR="003C5914" w:rsidRPr="003C5914" w:rsidRDefault="003C5914" w:rsidP="003C5914">
      <w:pPr>
        <w:rPr>
          <w:rFonts w:ascii="Times New Roman" w:hAnsi="Times New Roman" w:cs="Times New Roman"/>
        </w:rPr>
      </w:pPr>
    </w:p>
    <w:p w14:paraId="5683D44F" w14:textId="3B9459A1" w:rsidR="00642737" w:rsidRPr="003C5914" w:rsidRDefault="00642737" w:rsidP="003C5914">
      <w:pPr>
        <w:rPr>
          <w:rFonts w:ascii="Times New Roman" w:hAnsi="Times New Roman" w:cs="Times New Roman"/>
        </w:rPr>
      </w:pPr>
      <w:r w:rsidRPr="003C5914">
        <w:rPr>
          <w:rFonts w:ascii="Times New Roman" w:hAnsi="Times New Roman" w:cs="Times New Roman"/>
        </w:rPr>
        <w:t xml:space="preserve">We urge the Forest Service to fully implement the proposed alternative as it is currently described in the EIS.  Maximum attainment of the Purpose and Need can only be met if the treatments proposed are implemented at the highest scale.  </w:t>
      </w:r>
    </w:p>
    <w:p w14:paraId="1AFE2E80" w14:textId="77777777" w:rsidR="00A755C0" w:rsidRPr="003C5914" w:rsidRDefault="00A755C0" w:rsidP="003C5914">
      <w:pPr>
        <w:rPr>
          <w:rFonts w:ascii="Times New Roman" w:hAnsi="Times New Roman" w:cs="Times New Roman"/>
        </w:rPr>
      </w:pPr>
    </w:p>
    <w:p w14:paraId="2688ABEE" w14:textId="5EE5F80F" w:rsidR="00C10E7D" w:rsidRPr="003C5914" w:rsidRDefault="00082A32" w:rsidP="003C5914">
      <w:pPr>
        <w:rPr>
          <w:rFonts w:ascii="Times New Roman" w:hAnsi="Times New Roman" w:cs="Times New Roman"/>
        </w:rPr>
      </w:pPr>
      <w:r w:rsidRPr="003C5914">
        <w:rPr>
          <w:rFonts w:ascii="Times New Roman" w:hAnsi="Times New Roman" w:cs="Times New Roman"/>
          <w:b/>
          <w:bCs/>
        </w:rPr>
        <w:t>2.07</w:t>
      </w:r>
      <w:r w:rsidRPr="003C5914">
        <w:rPr>
          <w:rFonts w:ascii="Times New Roman" w:hAnsi="Times New Roman" w:cs="Times New Roman"/>
        </w:rPr>
        <w:t xml:space="preserve"> </w:t>
      </w:r>
      <w:r w:rsidR="00C10E7D" w:rsidRPr="003C5914">
        <w:rPr>
          <w:rFonts w:ascii="Times New Roman" w:hAnsi="Times New Roman" w:cs="Times New Roman"/>
          <w:b/>
          <w:bCs/>
          <w:u w:val="single"/>
        </w:rPr>
        <w:t>Condition-based salvage</w:t>
      </w:r>
      <w:r w:rsidR="00C10E7D" w:rsidRPr="003C5914">
        <w:rPr>
          <w:rFonts w:ascii="Times New Roman" w:hAnsi="Times New Roman" w:cs="Times New Roman"/>
        </w:rPr>
        <w:t xml:space="preserve"> </w:t>
      </w:r>
      <w:r w:rsidRPr="003C5914">
        <w:rPr>
          <w:rFonts w:ascii="Times New Roman" w:hAnsi="Times New Roman" w:cs="Times New Roman"/>
        </w:rPr>
        <w:t>(DEIS, pp. 31-</w:t>
      </w:r>
      <w:r w:rsidR="00692128" w:rsidRPr="003C5914">
        <w:rPr>
          <w:rFonts w:ascii="Times New Roman" w:hAnsi="Times New Roman" w:cs="Times New Roman"/>
        </w:rPr>
        <w:t>3</w:t>
      </w:r>
      <w:r w:rsidRPr="003C5914">
        <w:rPr>
          <w:rFonts w:ascii="Times New Roman" w:hAnsi="Times New Roman" w:cs="Times New Roman"/>
        </w:rPr>
        <w:t>4)</w:t>
      </w:r>
    </w:p>
    <w:p w14:paraId="6BA4153B" w14:textId="77777777" w:rsidR="00C10E7D" w:rsidRPr="003C5914" w:rsidRDefault="00C10E7D" w:rsidP="003C5914">
      <w:pPr>
        <w:rPr>
          <w:rFonts w:ascii="Times New Roman" w:hAnsi="Times New Roman" w:cs="Times New Roman"/>
        </w:rPr>
      </w:pPr>
    </w:p>
    <w:p w14:paraId="172C8C1A" w14:textId="0806B456" w:rsidR="00C10E7D" w:rsidRPr="003C5914" w:rsidRDefault="00C10E7D" w:rsidP="003C5914">
      <w:pPr>
        <w:rPr>
          <w:rFonts w:ascii="Times New Roman" w:hAnsi="Times New Roman" w:cs="Times New Roman"/>
        </w:rPr>
      </w:pPr>
      <w:r w:rsidRPr="003C5914">
        <w:rPr>
          <w:rFonts w:ascii="Times New Roman" w:hAnsi="Times New Roman" w:cs="Times New Roman"/>
        </w:rPr>
        <w:t>RE: Section 2.07, Pages 31-36 include the relevant design features</w:t>
      </w:r>
      <w:r w:rsidR="00E8381A" w:rsidRPr="003C5914">
        <w:rPr>
          <w:rFonts w:ascii="Times New Roman" w:hAnsi="Times New Roman" w:cs="Times New Roman"/>
        </w:rPr>
        <w:t xml:space="preserve">. </w:t>
      </w:r>
      <w:r w:rsidRPr="003C5914">
        <w:rPr>
          <w:rFonts w:ascii="Times New Roman" w:hAnsi="Times New Roman" w:cs="Times New Roman"/>
        </w:rPr>
        <w:t>Essentially, they are trying to work in options for potential timber salvage in the project area that do not currently exist</w:t>
      </w:r>
      <w:r w:rsidR="00E8381A" w:rsidRPr="003C5914">
        <w:rPr>
          <w:rFonts w:ascii="Times New Roman" w:hAnsi="Times New Roman" w:cs="Times New Roman"/>
        </w:rPr>
        <w:t xml:space="preserve">. </w:t>
      </w:r>
      <w:r w:rsidR="003C5914">
        <w:rPr>
          <w:rFonts w:ascii="Times New Roman" w:hAnsi="Times New Roman" w:cs="Times New Roman"/>
        </w:rPr>
        <w:t>The</w:t>
      </w:r>
      <w:r w:rsidRPr="003C5914">
        <w:rPr>
          <w:rFonts w:ascii="Times New Roman" w:hAnsi="Times New Roman" w:cs="Times New Roman"/>
        </w:rPr>
        <w:t xml:space="preserve"> EIS </w:t>
      </w:r>
      <w:r w:rsidR="003C5914">
        <w:rPr>
          <w:rFonts w:ascii="Times New Roman" w:hAnsi="Times New Roman" w:cs="Times New Roman"/>
        </w:rPr>
        <w:t>states</w:t>
      </w:r>
      <w:r w:rsidRPr="003C5914">
        <w:rPr>
          <w:rFonts w:ascii="Times New Roman" w:hAnsi="Times New Roman" w:cs="Times New Roman"/>
        </w:rPr>
        <w:t>:</w:t>
      </w:r>
    </w:p>
    <w:p w14:paraId="230786FB" w14:textId="77777777" w:rsidR="00C10E7D" w:rsidRPr="003C5914" w:rsidRDefault="00C10E7D" w:rsidP="003C5914">
      <w:pPr>
        <w:rPr>
          <w:rFonts w:ascii="Times New Roman" w:hAnsi="Times New Roman" w:cs="Times New Roman"/>
        </w:rPr>
      </w:pPr>
    </w:p>
    <w:p w14:paraId="72D2143C" w14:textId="0E1D6383" w:rsidR="00C10E7D" w:rsidRPr="003C5914" w:rsidRDefault="00C10E7D" w:rsidP="003C5914">
      <w:pPr>
        <w:rPr>
          <w:rFonts w:ascii="Times New Roman" w:hAnsi="Times New Roman" w:cs="Times New Roman"/>
          <w:i/>
          <w:iCs/>
        </w:rPr>
      </w:pPr>
      <w:r w:rsidRPr="003C5914">
        <w:rPr>
          <w:rFonts w:ascii="Times New Roman" w:hAnsi="Times New Roman" w:cs="Times New Roman"/>
          <w:i/>
          <w:iCs/>
        </w:rPr>
        <w:t>To be clear, the salvage proposed is designed to react to a potential future condition that does not currently exist. This type of proposed action is commonly referred to as “condition-based</w:t>
      </w:r>
      <w:r w:rsidR="00E8381A" w:rsidRPr="003C5914">
        <w:rPr>
          <w:rFonts w:ascii="Times New Roman" w:hAnsi="Times New Roman" w:cs="Times New Roman"/>
          <w:i/>
          <w:iCs/>
        </w:rPr>
        <w:t>.”</w:t>
      </w:r>
      <w:r w:rsidRPr="003C5914">
        <w:rPr>
          <w:rFonts w:ascii="Times New Roman" w:hAnsi="Times New Roman" w:cs="Times New Roman"/>
          <w:i/>
          <w:iCs/>
        </w:rPr>
        <w:t xml:space="preserve"> The inclusion of condition-based management in project planning is not universally accepted as an appropriate methodology. Those opposed to condition-based management believe that condition-based management does not provide the site-specificity necessary to meaningfully assess the potential environmental impacts, to inform the responsible official’s decision-making process or the public’s ability to provide feedback on the project</w:t>
      </w:r>
      <w:r w:rsidR="00E8381A" w:rsidRPr="003C5914">
        <w:rPr>
          <w:rFonts w:ascii="Times New Roman" w:hAnsi="Times New Roman" w:cs="Times New Roman"/>
        </w:rPr>
        <w:t xml:space="preserve">. </w:t>
      </w:r>
      <w:r w:rsidRPr="003C5914">
        <w:rPr>
          <w:rFonts w:ascii="Times New Roman" w:hAnsi="Times New Roman" w:cs="Times New Roman"/>
          <w:i/>
          <w:iCs/>
        </w:rPr>
        <w:t>In recognition of these concerns, the proposed salvage includes spatial, temporal, and conditional constraints. These constraints identify the area of potential salvage, when the salvage would occur – or what would trigger a salvage action, and other specific constraints which limit the salvage actions.</w:t>
      </w:r>
    </w:p>
    <w:p w14:paraId="005F45D3" w14:textId="77777777" w:rsidR="00C10E7D" w:rsidRPr="003C5914" w:rsidRDefault="00C10E7D" w:rsidP="003C5914">
      <w:pPr>
        <w:rPr>
          <w:rFonts w:ascii="Times New Roman" w:hAnsi="Times New Roman" w:cs="Times New Roman"/>
          <w:i/>
          <w:iCs/>
        </w:rPr>
      </w:pPr>
    </w:p>
    <w:p w14:paraId="6F173ECB" w14:textId="69591A08" w:rsidR="00C10E7D" w:rsidRPr="003C5914" w:rsidRDefault="005035A7" w:rsidP="003C5914">
      <w:pPr>
        <w:rPr>
          <w:rFonts w:ascii="Times New Roman" w:hAnsi="Times New Roman" w:cs="Times New Roman"/>
        </w:rPr>
      </w:pPr>
      <w:r w:rsidRPr="003C5914">
        <w:rPr>
          <w:rFonts w:ascii="Times New Roman" w:hAnsi="Times New Roman" w:cs="Times New Roman"/>
        </w:rPr>
        <w:t>We believe this is an excellent approach to address the future need for salvage</w:t>
      </w:r>
      <w:r w:rsidR="00FD42B5" w:rsidRPr="003C5914">
        <w:rPr>
          <w:rFonts w:ascii="Times New Roman" w:hAnsi="Times New Roman" w:cs="Times New Roman"/>
        </w:rPr>
        <w:t xml:space="preserve"> of </w:t>
      </w:r>
      <w:r w:rsidR="00E8381A" w:rsidRPr="003C5914">
        <w:rPr>
          <w:rFonts w:ascii="Times New Roman" w:hAnsi="Times New Roman" w:cs="Times New Roman"/>
        </w:rPr>
        <w:t>insects</w:t>
      </w:r>
      <w:r w:rsidR="00FD42B5" w:rsidRPr="003C5914">
        <w:rPr>
          <w:rFonts w:ascii="Times New Roman" w:hAnsi="Times New Roman" w:cs="Times New Roman"/>
        </w:rPr>
        <w:t>, disease</w:t>
      </w:r>
      <w:r w:rsidR="00AE7766" w:rsidRPr="003C5914">
        <w:rPr>
          <w:rFonts w:ascii="Times New Roman" w:hAnsi="Times New Roman" w:cs="Times New Roman"/>
        </w:rPr>
        <w:t>,</w:t>
      </w:r>
      <w:r w:rsidR="00FD42B5" w:rsidRPr="003C5914">
        <w:rPr>
          <w:rFonts w:ascii="Times New Roman" w:hAnsi="Times New Roman" w:cs="Times New Roman"/>
        </w:rPr>
        <w:t xml:space="preserve"> and burned trees</w:t>
      </w:r>
      <w:r w:rsidR="00C32EA2" w:rsidRPr="003C5914">
        <w:rPr>
          <w:rFonts w:ascii="Times New Roman" w:hAnsi="Times New Roman" w:cs="Times New Roman"/>
        </w:rPr>
        <w:t xml:space="preserve">. </w:t>
      </w:r>
      <w:r w:rsidR="00C10E7D" w:rsidRPr="003C5914">
        <w:rPr>
          <w:rFonts w:ascii="Times New Roman" w:hAnsi="Times New Roman" w:cs="Times New Roman"/>
        </w:rPr>
        <w:t xml:space="preserve">The “constraints” referenced here and listed in the </w:t>
      </w:r>
      <w:r w:rsidR="00C32EA2" w:rsidRPr="003C5914">
        <w:rPr>
          <w:rFonts w:ascii="Times New Roman" w:hAnsi="Times New Roman" w:cs="Times New Roman"/>
        </w:rPr>
        <w:t>D</w:t>
      </w:r>
      <w:r w:rsidR="00C10E7D" w:rsidRPr="003C5914">
        <w:rPr>
          <w:rFonts w:ascii="Times New Roman" w:hAnsi="Times New Roman" w:cs="Times New Roman"/>
        </w:rPr>
        <w:t>EIS seem reasonable</w:t>
      </w:r>
      <w:r w:rsidR="00E8381A" w:rsidRPr="003C5914">
        <w:rPr>
          <w:rFonts w:ascii="Times New Roman" w:hAnsi="Times New Roman" w:cs="Times New Roman"/>
        </w:rPr>
        <w:t xml:space="preserve">. </w:t>
      </w:r>
      <w:r w:rsidR="00C10E7D" w:rsidRPr="003C5914">
        <w:rPr>
          <w:rFonts w:ascii="Times New Roman" w:hAnsi="Times New Roman" w:cs="Times New Roman"/>
        </w:rPr>
        <w:t xml:space="preserve">The most significant hurdle </w:t>
      </w:r>
      <w:r w:rsidR="00C32EA2" w:rsidRPr="003C5914">
        <w:rPr>
          <w:rFonts w:ascii="Times New Roman" w:hAnsi="Times New Roman" w:cs="Times New Roman"/>
        </w:rPr>
        <w:t xml:space="preserve">may be </w:t>
      </w:r>
      <w:r w:rsidR="00C10E7D" w:rsidRPr="003C5914">
        <w:rPr>
          <w:rFonts w:ascii="Times New Roman" w:hAnsi="Times New Roman" w:cs="Times New Roman"/>
        </w:rPr>
        <w:t xml:space="preserve">the preparation of </w:t>
      </w:r>
      <w:r w:rsidR="00C32EA2" w:rsidRPr="003C5914">
        <w:rPr>
          <w:rFonts w:ascii="Times New Roman" w:hAnsi="Times New Roman" w:cs="Times New Roman"/>
        </w:rPr>
        <w:t xml:space="preserve">a </w:t>
      </w:r>
      <w:r w:rsidR="00C10E7D" w:rsidRPr="003C5914">
        <w:rPr>
          <w:rFonts w:ascii="Times New Roman" w:hAnsi="Times New Roman" w:cs="Times New Roman"/>
        </w:rPr>
        <w:t>“cumulative watershed effects analysis.” </w:t>
      </w:r>
    </w:p>
    <w:p w14:paraId="71FB52A5" w14:textId="77777777" w:rsidR="002F71EF" w:rsidRPr="003C5914" w:rsidRDefault="002F71EF" w:rsidP="003C5914">
      <w:pPr>
        <w:rPr>
          <w:rFonts w:ascii="Times New Roman" w:hAnsi="Times New Roman" w:cs="Times New Roman"/>
        </w:rPr>
      </w:pPr>
    </w:p>
    <w:p w14:paraId="09E2C782" w14:textId="4887E869" w:rsidR="002F71EF" w:rsidRPr="003C5914" w:rsidRDefault="002F71EF" w:rsidP="003C5914">
      <w:pPr>
        <w:shd w:val="clear" w:color="auto" w:fill="FFFFFF"/>
        <w:rPr>
          <w:rFonts w:ascii="Times New Roman" w:hAnsi="Times New Roman" w:cs="Times New Roman"/>
        </w:rPr>
      </w:pPr>
      <w:r w:rsidRPr="003C5914">
        <w:rPr>
          <w:rFonts w:ascii="Times New Roman" w:hAnsi="Times New Roman" w:cs="Times New Roman"/>
          <w:b/>
          <w:bCs/>
        </w:rPr>
        <w:t>Impact of mortality on air quality and carbon sequestration</w:t>
      </w:r>
      <w:r w:rsidRPr="003C5914">
        <w:rPr>
          <w:rFonts w:ascii="Times New Roman" w:hAnsi="Times New Roman" w:cs="Times New Roman"/>
        </w:rPr>
        <w:t xml:space="preserve">  </w:t>
      </w:r>
    </w:p>
    <w:p w14:paraId="6AD61EA5" w14:textId="77777777" w:rsidR="00AB2BE6" w:rsidRPr="003C5914" w:rsidRDefault="00AB2BE6" w:rsidP="003C5914">
      <w:pPr>
        <w:shd w:val="clear" w:color="auto" w:fill="FFFFFF"/>
        <w:rPr>
          <w:rFonts w:ascii="Times New Roman" w:hAnsi="Times New Roman" w:cs="Times New Roman"/>
        </w:rPr>
      </w:pPr>
    </w:p>
    <w:p w14:paraId="3522849B" w14:textId="6AA33AE1" w:rsidR="00AB2BE6" w:rsidRPr="003C5914" w:rsidRDefault="00AB2BE6" w:rsidP="003C5914">
      <w:pPr>
        <w:shd w:val="clear" w:color="auto" w:fill="FFFFFF"/>
        <w:rPr>
          <w:rFonts w:ascii="Times New Roman" w:hAnsi="Times New Roman" w:cs="Times New Roman"/>
        </w:rPr>
      </w:pPr>
      <w:r w:rsidRPr="003C5914">
        <w:rPr>
          <w:rFonts w:ascii="Times New Roman" w:hAnsi="Times New Roman" w:cs="Times New Roman"/>
        </w:rPr>
        <w:t>We are pleased to see a robust analysis of climate change and greenhouse gas emissions in the supplemental Report.  We are also pleased to see that Report acknowledge the important role that long-lasting wood products have in overall carbon storage as well as the substitution benefits of supporting the wood products sector.  We believe that timber harvest and utilization of wood products is a key component of combating the effects of climate change.</w:t>
      </w:r>
    </w:p>
    <w:p w14:paraId="38F2FE66" w14:textId="77777777" w:rsidR="00AB2BE6" w:rsidRPr="003C5914" w:rsidRDefault="00AB2BE6" w:rsidP="003C5914">
      <w:pPr>
        <w:shd w:val="clear" w:color="auto" w:fill="FFFFFF"/>
        <w:rPr>
          <w:rFonts w:ascii="Times New Roman" w:hAnsi="Times New Roman" w:cs="Times New Roman"/>
        </w:rPr>
      </w:pPr>
    </w:p>
    <w:p w14:paraId="2980FCDB" w14:textId="4BDC56A5" w:rsidR="002F71EF" w:rsidRDefault="002F71EF" w:rsidP="003C5914">
      <w:pPr>
        <w:shd w:val="clear" w:color="auto" w:fill="FFFFFF"/>
        <w:rPr>
          <w:rFonts w:ascii="Times New Roman" w:hAnsi="Times New Roman" w:cs="Times New Roman"/>
          <w:color w:val="222222"/>
          <w:spacing w:val="-3"/>
          <w:kern w:val="2"/>
          <w:shd w:val="clear" w:color="auto" w:fill="FFFFFF"/>
          <w14:ligatures w14:val="standardContextual"/>
        </w:rPr>
      </w:pPr>
      <w:r w:rsidRPr="003C5914">
        <w:rPr>
          <w:rFonts w:ascii="Times New Roman" w:hAnsi="Times New Roman" w:cs="Times New Roman"/>
        </w:rPr>
        <w:t>Well stocked and growing forests pull carbon from the air and sequester it</w:t>
      </w:r>
      <w:r w:rsidR="00E8381A" w:rsidRPr="003C5914">
        <w:rPr>
          <w:rFonts w:ascii="Times New Roman" w:hAnsi="Times New Roman" w:cs="Times New Roman"/>
        </w:rPr>
        <w:t xml:space="preserve">. </w:t>
      </w:r>
      <w:r w:rsidRPr="003C5914">
        <w:rPr>
          <w:rFonts w:ascii="Times New Roman" w:hAnsi="Times New Roman" w:cs="Times New Roman"/>
        </w:rPr>
        <w:t>Dead trees in the process of natural decay release carbon dioxide, and perhaps more important, produce and release methane</w:t>
      </w:r>
      <w:r w:rsidR="00E8381A" w:rsidRPr="003C5914">
        <w:rPr>
          <w:rFonts w:ascii="Times New Roman" w:hAnsi="Times New Roman" w:cs="Times New Roman"/>
        </w:rPr>
        <w:t xml:space="preserve">. </w:t>
      </w:r>
      <w:r w:rsidRPr="003C5914">
        <w:rPr>
          <w:rFonts w:ascii="Times New Roman" w:hAnsi="Times New Roman" w:cs="Times New Roman"/>
        </w:rPr>
        <w:t xml:space="preserve">Methane is at least 25 times more </w:t>
      </w:r>
      <w:r w:rsidR="00E8381A" w:rsidRPr="003C5914">
        <w:rPr>
          <w:rFonts w:ascii="Times New Roman" w:hAnsi="Times New Roman" w:cs="Times New Roman"/>
        </w:rPr>
        <w:t>potent than</w:t>
      </w:r>
      <w:r w:rsidRPr="003C5914">
        <w:rPr>
          <w:rFonts w:ascii="Times New Roman" w:hAnsi="Times New Roman" w:cs="Times New Roman"/>
        </w:rPr>
        <w:t xml:space="preserve"> a greenhouse gas compared to carbon dioxide</w:t>
      </w:r>
      <w:r w:rsidR="00E8381A" w:rsidRPr="003C5914">
        <w:rPr>
          <w:rFonts w:ascii="Times New Roman" w:hAnsi="Times New Roman" w:cs="Times New Roman"/>
        </w:rPr>
        <w:t xml:space="preserve">. </w:t>
      </w:r>
      <w:r w:rsidRPr="003C5914">
        <w:rPr>
          <w:rFonts w:ascii="Times New Roman" w:hAnsi="Times New Roman" w:cs="Times New Roman"/>
        </w:rPr>
        <w:t xml:space="preserve">Methane produced in decaying standing dead and  down </w:t>
      </w:r>
      <w:r w:rsidR="003C5914">
        <w:rPr>
          <w:rFonts w:ascii="Times New Roman" w:hAnsi="Times New Roman" w:cs="Times New Roman"/>
        </w:rPr>
        <w:t xml:space="preserve">trees </w:t>
      </w:r>
      <w:r w:rsidRPr="003C5914">
        <w:rPr>
          <w:rFonts w:ascii="Times New Roman" w:hAnsi="Times New Roman" w:cs="Times New Roman"/>
        </w:rPr>
        <w:t>produce trunk gas methane concentrations up to 80,000 times atmospheric concentrations (Attachment #1, p. 7)</w:t>
      </w:r>
      <w:r w:rsidR="00E8381A" w:rsidRPr="003C5914">
        <w:rPr>
          <w:rFonts w:ascii="Times New Roman" w:hAnsi="Times New Roman" w:cs="Times New Roman"/>
        </w:rPr>
        <w:t xml:space="preserve">. </w:t>
      </w:r>
      <w:r w:rsidRPr="003C5914">
        <w:rPr>
          <w:rFonts w:ascii="Times New Roman" w:hAnsi="Times New Roman" w:cs="Times New Roman"/>
        </w:rPr>
        <w:t xml:space="preserve">Other research regarding methane in decaying trees can be found at: </w:t>
      </w:r>
      <w:hyperlink r:id="rId9" w:history="1">
        <w:r w:rsidRPr="003C5914">
          <w:rPr>
            <w:rFonts w:ascii="Times New Roman" w:eastAsia="Times New Roman" w:hAnsi="Times New Roman" w:cs="Times New Roman"/>
            <w:color w:val="467886" w:themeColor="hyperlink"/>
            <w:kern w:val="2"/>
            <w:u w:val="single"/>
            <w14:ligatures w14:val="standardContextual"/>
          </w:rPr>
          <w:t>https://news.yale.edu/2012/08/08/diseased-trees-are-source-climate-changing-gas</w:t>
        </w:r>
      </w:hyperlink>
      <w:r w:rsidRPr="003C5914">
        <w:rPr>
          <w:rFonts w:ascii="Times New Roman" w:eastAsia="Times New Roman" w:hAnsi="Times New Roman" w:cs="Times New Roman"/>
          <w:kern w:val="2"/>
          <w14:ligatures w14:val="standardContextual"/>
        </w:rPr>
        <w:t xml:space="preserve">.  This publication </w:t>
      </w:r>
      <w:r w:rsidR="003C5914">
        <w:rPr>
          <w:rFonts w:ascii="Times New Roman" w:eastAsia="Times New Roman" w:hAnsi="Times New Roman" w:cs="Times New Roman"/>
          <w:kern w:val="2"/>
          <w14:ligatures w14:val="standardContextual"/>
        </w:rPr>
        <w:t>states</w:t>
      </w:r>
      <w:r w:rsidRPr="003C5914">
        <w:rPr>
          <w:rFonts w:ascii="Times New Roman" w:eastAsia="Times New Roman" w:hAnsi="Times New Roman" w:cs="Times New Roman"/>
          <w:kern w:val="2"/>
          <w14:ligatures w14:val="standardContextual"/>
        </w:rPr>
        <w:t xml:space="preserve">: </w:t>
      </w:r>
      <w:r w:rsidRPr="003C5914">
        <w:rPr>
          <w:rFonts w:ascii="Times New Roman" w:hAnsi="Times New Roman" w:cs="Times New Roman"/>
          <w:color w:val="222222"/>
          <w:spacing w:val="-3"/>
          <w:kern w:val="2"/>
          <w:shd w:val="clear" w:color="auto" w:fill="FFFFFF"/>
          <w14:ligatures w14:val="standardContextual"/>
        </w:rPr>
        <w:t>“If we extrapolate these findings to forests globally, the methane produced in trees represents 10 percent of global emissions.”</w:t>
      </w:r>
    </w:p>
    <w:p w14:paraId="5616E41B" w14:textId="77777777" w:rsidR="003C5914" w:rsidRPr="003C5914" w:rsidRDefault="003C5914" w:rsidP="003C5914">
      <w:pPr>
        <w:shd w:val="clear" w:color="auto" w:fill="FFFFFF"/>
        <w:rPr>
          <w:rFonts w:ascii="Times New Roman" w:eastAsia="Times New Roman" w:hAnsi="Times New Roman" w:cs="Times New Roman"/>
          <w:color w:val="767676"/>
          <w:kern w:val="2"/>
          <w14:ligatures w14:val="standardContextual"/>
        </w:rPr>
      </w:pPr>
    </w:p>
    <w:p w14:paraId="5471294F" w14:textId="77777777" w:rsidR="002F71EF" w:rsidRPr="003C5914" w:rsidRDefault="002F71EF" w:rsidP="003C5914">
      <w:pPr>
        <w:autoSpaceDE w:val="0"/>
        <w:autoSpaceDN w:val="0"/>
        <w:adjustRightInd w:val="0"/>
        <w:rPr>
          <w:rFonts w:ascii="Times New Roman" w:hAnsi="Times New Roman" w:cs="Times New Roman"/>
        </w:rPr>
      </w:pPr>
      <w:r w:rsidRPr="003C5914">
        <w:rPr>
          <w:rFonts w:ascii="Times New Roman" w:hAnsi="Times New Roman" w:cs="Times New Roman"/>
        </w:rPr>
        <w:t>See the methane flare from a decaying standing tree (Attachment #2).</w:t>
      </w:r>
    </w:p>
    <w:p w14:paraId="5E800400" w14:textId="77777777" w:rsidR="004E6167" w:rsidRPr="003C5914" w:rsidRDefault="004E6167" w:rsidP="003C5914">
      <w:pPr>
        <w:rPr>
          <w:rFonts w:ascii="Times New Roman" w:hAnsi="Times New Roman" w:cs="Times New Roman"/>
        </w:rPr>
      </w:pPr>
    </w:p>
    <w:p w14:paraId="7BD6E7BF" w14:textId="645F584A" w:rsidR="00692128" w:rsidRPr="003C5914" w:rsidRDefault="00692128" w:rsidP="003C5914">
      <w:pPr>
        <w:rPr>
          <w:rFonts w:ascii="Times New Roman" w:hAnsi="Times New Roman" w:cs="Times New Roman"/>
          <w:b/>
          <w:bCs/>
        </w:rPr>
      </w:pPr>
      <w:r w:rsidRPr="003C5914">
        <w:rPr>
          <w:rFonts w:ascii="Times New Roman" w:hAnsi="Times New Roman" w:cs="Times New Roman"/>
          <w:b/>
          <w:bCs/>
        </w:rPr>
        <w:t>Salvage (DEIS, pp. 47-48)</w:t>
      </w:r>
    </w:p>
    <w:p w14:paraId="768988BD" w14:textId="77777777" w:rsidR="00AE7766" w:rsidRPr="003C5914" w:rsidRDefault="00AE7766" w:rsidP="003C5914">
      <w:pPr>
        <w:rPr>
          <w:rFonts w:ascii="Times New Roman" w:hAnsi="Times New Roman" w:cs="Times New Roman"/>
          <w:b/>
          <w:bCs/>
        </w:rPr>
      </w:pPr>
    </w:p>
    <w:p w14:paraId="5E11F310" w14:textId="21AF62CD" w:rsidR="00692128" w:rsidRPr="003C5914" w:rsidRDefault="00692128" w:rsidP="003C5914">
      <w:pPr>
        <w:rPr>
          <w:rFonts w:ascii="Times New Roman" w:hAnsi="Times New Roman" w:cs="Times New Roman"/>
        </w:rPr>
      </w:pPr>
      <w:r w:rsidRPr="003C5914">
        <w:rPr>
          <w:rFonts w:ascii="Times New Roman" w:hAnsi="Times New Roman" w:cs="Times New Roman"/>
        </w:rPr>
        <w:t>We believe applying “slash” to skid trail footprints may provide a good reduction in erosion hazard but introducing flammable material that provides a continuous conduit for fire across the skid trail is not a good idea</w:t>
      </w:r>
      <w:r w:rsidR="00E8381A" w:rsidRPr="003C5914">
        <w:rPr>
          <w:rFonts w:ascii="Times New Roman" w:hAnsi="Times New Roman" w:cs="Times New Roman"/>
        </w:rPr>
        <w:t xml:space="preserve">. </w:t>
      </w:r>
      <w:r w:rsidRPr="003C5914">
        <w:rPr>
          <w:rFonts w:ascii="Times New Roman" w:hAnsi="Times New Roman" w:cs="Times New Roman"/>
        </w:rPr>
        <w:t>We believe straw mulch and/or waterbars is the most effective overall method</w:t>
      </w:r>
      <w:r w:rsidR="00E8381A" w:rsidRPr="003C5914">
        <w:rPr>
          <w:rFonts w:ascii="Times New Roman" w:hAnsi="Times New Roman" w:cs="Times New Roman"/>
        </w:rPr>
        <w:t xml:space="preserve">. </w:t>
      </w:r>
      <w:r w:rsidR="00AE7766" w:rsidRPr="003C5914">
        <w:rPr>
          <w:rFonts w:ascii="Times New Roman" w:hAnsi="Times New Roman" w:cs="Times New Roman"/>
        </w:rPr>
        <w:t>Dozer trails provide excellent fuelbreaks; adding slash back into the footprint defeats part of the purpose for the skid trail and makes it difficult to reopen if needed again as a fuelbreak for a prescribed fire or to stop a wildfire.</w:t>
      </w:r>
    </w:p>
    <w:p w14:paraId="45EBE27D" w14:textId="77777777" w:rsidR="00102A65" w:rsidRPr="003C5914" w:rsidRDefault="00102A65" w:rsidP="003C5914">
      <w:pPr>
        <w:rPr>
          <w:rFonts w:ascii="Times New Roman" w:hAnsi="Times New Roman" w:cs="Times New Roman"/>
        </w:rPr>
      </w:pPr>
    </w:p>
    <w:p w14:paraId="508532DE" w14:textId="59F275CA" w:rsidR="00102A65" w:rsidRPr="003C5914" w:rsidRDefault="00FB7EBE" w:rsidP="003C5914">
      <w:pPr>
        <w:rPr>
          <w:rFonts w:ascii="Times New Roman" w:hAnsi="Times New Roman" w:cs="Times New Roman"/>
        </w:rPr>
      </w:pPr>
      <w:r w:rsidRPr="003C5914">
        <w:rPr>
          <w:rFonts w:ascii="Times New Roman" w:hAnsi="Times New Roman" w:cs="Times New Roman"/>
          <w:b/>
          <w:bCs/>
        </w:rPr>
        <w:t xml:space="preserve">Reduce Stand Densities (SDI) (DEIS, pp. 151-152) </w:t>
      </w:r>
    </w:p>
    <w:p w14:paraId="41D2C748" w14:textId="77777777" w:rsidR="00102A65" w:rsidRPr="003C5914" w:rsidRDefault="00102A65" w:rsidP="003C5914">
      <w:pPr>
        <w:rPr>
          <w:rFonts w:ascii="Times New Roman" w:hAnsi="Times New Roman" w:cs="Times New Roman"/>
        </w:rPr>
      </w:pPr>
    </w:p>
    <w:p w14:paraId="10C8E980" w14:textId="4FE19104" w:rsidR="00990F81" w:rsidRPr="003C5914" w:rsidRDefault="00102A65" w:rsidP="003C5914">
      <w:pPr>
        <w:rPr>
          <w:rFonts w:ascii="Times New Roman" w:hAnsi="Times New Roman" w:cs="Times New Roman"/>
        </w:rPr>
      </w:pPr>
      <w:r w:rsidRPr="003C5914">
        <w:rPr>
          <w:rFonts w:ascii="Times New Roman" w:hAnsi="Times New Roman" w:cs="Times New Roman"/>
        </w:rPr>
        <w:t>The DEIS</w:t>
      </w:r>
      <w:r w:rsidR="00FB7EBE" w:rsidRPr="003C5914">
        <w:rPr>
          <w:rFonts w:ascii="Times New Roman" w:hAnsi="Times New Roman" w:cs="Times New Roman"/>
        </w:rPr>
        <w:t xml:space="preserve"> (p. 192)</w:t>
      </w:r>
      <w:r w:rsidRPr="003C5914">
        <w:rPr>
          <w:rFonts w:ascii="Times New Roman" w:hAnsi="Times New Roman" w:cs="Times New Roman"/>
        </w:rPr>
        <w:t xml:space="preserve"> cites North et</w:t>
      </w:r>
      <w:r w:rsidR="003C5914">
        <w:rPr>
          <w:rFonts w:ascii="Times New Roman" w:hAnsi="Times New Roman" w:cs="Times New Roman"/>
        </w:rPr>
        <w:t xml:space="preserve"> </w:t>
      </w:r>
      <w:r w:rsidRPr="003C5914">
        <w:rPr>
          <w:rFonts w:ascii="Times New Roman" w:hAnsi="Times New Roman" w:cs="Times New Roman"/>
        </w:rPr>
        <w:t>al</w:t>
      </w:r>
      <w:r w:rsidR="003C5914">
        <w:rPr>
          <w:rFonts w:ascii="Times New Roman" w:hAnsi="Times New Roman" w:cs="Times New Roman"/>
        </w:rPr>
        <w:t>. (</w:t>
      </w:r>
      <w:r w:rsidRPr="003C5914">
        <w:rPr>
          <w:rFonts w:ascii="Times New Roman" w:hAnsi="Times New Roman" w:cs="Times New Roman"/>
        </w:rPr>
        <w:t>2009</w:t>
      </w:r>
      <w:r w:rsidR="003C5914">
        <w:rPr>
          <w:rFonts w:ascii="Times New Roman" w:hAnsi="Times New Roman" w:cs="Times New Roman"/>
        </w:rPr>
        <w:t>)</w:t>
      </w:r>
      <w:r w:rsidRPr="003C5914">
        <w:rPr>
          <w:rFonts w:ascii="Times New Roman" w:hAnsi="Times New Roman" w:cs="Times New Roman"/>
        </w:rPr>
        <w:t xml:space="preserve"> for the landforms in Figures 8-9 </w:t>
      </w:r>
      <w:commentRangeStart w:id="0"/>
      <w:r w:rsidR="003C5914">
        <w:rPr>
          <w:rFonts w:ascii="Times New Roman" w:hAnsi="Times New Roman" w:cs="Times New Roman"/>
        </w:rPr>
        <w:t>(p. 22)</w:t>
      </w:r>
      <w:r w:rsidRPr="003C5914">
        <w:rPr>
          <w:rFonts w:ascii="Times New Roman" w:hAnsi="Times New Roman" w:cs="Times New Roman"/>
        </w:rPr>
        <w:t xml:space="preserve"> </w:t>
      </w:r>
      <w:commentRangeEnd w:id="0"/>
      <w:r w:rsidR="003C5914">
        <w:rPr>
          <w:rStyle w:val="CommentReference"/>
        </w:rPr>
        <w:commentReference w:id="0"/>
      </w:r>
      <w:r w:rsidR="00FB7EBE" w:rsidRPr="003C5914">
        <w:rPr>
          <w:rFonts w:ascii="Times New Roman" w:hAnsi="Times New Roman" w:cs="Times New Roman"/>
        </w:rPr>
        <w:t>and  North</w:t>
      </w:r>
      <w:r w:rsidR="003C5914">
        <w:rPr>
          <w:rFonts w:ascii="Times New Roman" w:hAnsi="Times New Roman" w:cs="Times New Roman"/>
        </w:rPr>
        <w:t xml:space="preserve"> et al. (2022) </w:t>
      </w:r>
      <w:r w:rsidRPr="003C5914">
        <w:rPr>
          <w:rFonts w:ascii="Times New Roman" w:hAnsi="Times New Roman" w:cs="Times New Roman"/>
        </w:rPr>
        <w:t xml:space="preserve">  </w:t>
      </w:r>
      <w:r w:rsidRPr="003C5914">
        <w:rPr>
          <w:rFonts w:ascii="Times New Roman" w:hAnsi="Times New Roman" w:cs="Times New Roman"/>
          <w:b/>
          <w:bCs/>
        </w:rPr>
        <w:t>Operational Resilience</w:t>
      </w:r>
      <w:r w:rsidR="00FB7EBE" w:rsidRPr="003C5914">
        <w:rPr>
          <w:rFonts w:ascii="Times New Roman" w:hAnsi="Times New Roman" w:cs="Times New Roman"/>
          <w:b/>
          <w:bCs/>
        </w:rPr>
        <w:t xml:space="preserve"> (p.</w:t>
      </w:r>
      <w:r w:rsidR="003C5914">
        <w:rPr>
          <w:rFonts w:ascii="Times New Roman" w:hAnsi="Times New Roman" w:cs="Times New Roman"/>
          <w:b/>
          <w:bCs/>
        </w:rPr>
        <w:t xml:space="preserve"> </w:t>
      </w:r>
      <w:r w:rsidR="00FB7EBE" w:rsidRPr="003C5914">
        <w:rPr>
          <w:rFonts w:ascii="Times New Roman" w:hAnsi="Times New Roman" w:cs="Times New Roman"/>
          <w:b/>
          <w:bCs/>
        </w:rPr>
        <w:t>152)</w:t>
      </w:r>
      <w:r w:rsidR="00E8381A" w:rsidRPr="003C5914">
        <w:rPr>
          <w:rFonts w:ascii="Times New Roman" w:hAnsi="Times New Roman" w:cs="Times New Roman"/>
          <w:b/>
          <w:bCs/>
        </w:rPr>
        <w:t xml:space="preserve">. </w:t>
      </w:r>
      <w:r w:rsidR="00FB7EBE" w:rsidRPr="003C5914">
        <w:rPr>
          <w:rFonts w:ascii="Times New Roman" w:hAnsi="Times New Roman" w:cs="Times New Roman"/>
          <w:b/>
          <w:bCs/>
        </w:rPr>
        <w:t>The DEIS text specifically points to</w:t>
      </w:r>
      <w:r w:rsidR="00FB7EBE" w:rsidRPr="003C5914">
        <w:rPr>
          <w:rFonts w:ascii="Times New Roman" w:hAnsi="Times New Roman" w:cs="Times New Roman"/>
        </w:rPr>
        <w:t xml:space="preserve"> </w:t>
      </w:r>
      <w:r w:rsidR="00FB7EBE" w:rsidRPr="003C5914">
        <w:rPr>
          <w:rFonts w:ascii="Times New Roman" w:hAnsi="Times New Roman" w:cs="Times New Roman"/>
          <w:b/>
          <w:bCs/>
        </w:rPr>
        <w:t>pre-settlement stands averaging 23-28% of the maximum stand density index (SDI)</w:t>
      </w:r>
      <w:r w:rsidR="00E8381A" w:rsidRPr="003C5914">
        <w:rPr>
          <w:rFonts w:ascii="Times New Roman" w:hAnsi="Times New Roman" w:cs="Times New Roman"/>
          <w:b/>
          <w:bCs/>
        </w:rPr>
        <w:t>.</w:t>
      </w:r>
      <w:r w:rsidR="00E8381A" w:rsidRPr="003C5914">
        <w:rPr>
          <w:rFonts w:ascii="Times New Roman" w:hAnsi="Times New Roman" w:cs="Times New Roman"/>
        </w:rPr>
        <w:t xml:space="preserve"> But</w:t>
      </w:r>
      <w:r w:rsidR="00864AA7" w:rsidRPr="003C5914">
        <w:rPr>
          <w:rFonts w:ascii="Times New Roman" w:hAnsi="Times New Roman" w:cs="Times New Roman"/>
        </w:rPr>
        <w:t xml:space="preserve"> then, it appears the North et</w:t>
      </w:r>
      <w:r w:rsidR="003C5914">
        <w:rPr>
          <w:rFonts w:ascii="Times New Roman" w:hAnsi="Times New Roman" w:cs="Times New Roman"/>
        </w:rPr>
        <w:t xml:space="preserve"> </w:t>
      </w:r>
      <w:r w:rsidR="00864AA7" w:rsidRPr="003C5914">
        <w:rPr>
          <w:rFonts w:ascii="Times New Roman" w:hAnsi="Times New Roman" w:cs="Times New Roman"/>
        </w:rPr>
        <w:t>al</w:t>
      </w:r>
      <w:r w:rsidR="003C5914">
        <w:rPr>
          <w:rFonts w:ascii="Times New Roman" w:hAnsi="Times New Roman" w:cs="Times New Roman"/>
        </w:rPr>
        <w:t>.</w:t>
      </w:r>
      <w:r w:rsidR="00864AA7" w:rsidRPr="003C5914">
        <w:rPr>
          <w:rFonts w:ascii="Times New Roman" w:hAnsi="Times New Roman" w:cs="Times New Roman"/>
        </w:rPr>
        <w:t xml:space="preserve"> </w:t>
      </w:r>
      <w:r w:rsidR="003C5914">
        <w:rPr>
          <w:rFonts w:ascii="Times New Roman" w:hAnsi="Times New Roman" w:cs="Times New Roman"/>
        </w:rPr>
        <w:t xml:space="preserve">(2022) </w:t>
      </w:r>
      <w:r w:rsidR="00864AA7" w:rsidRPr="003C5914">
        <w:rPr>
          <w:rFonts w:ascii="Times New Roman" w:hAnsi="Times New Roman" w:cs="Times New Roman"/>
        </w:rPr>
        <w:t>research is not used in selecting a desired structure within forest stands</w:t>
      </w:r>
      <w:r w:rsidR="00E8381A" w:rsidRPr="003C5914">
        <w:rPr>
          <w:rFonts w:ascii="Times New Roman" w:hAnsi="Times New Roman" w:cs="Times New Roman"/>
        </w:rPr>
        <w:t xml:space="preserve">. </w:t>
      </w:r>
      <w:r w:rsidR="00864AA7" w:rsidRPr="003C5914">
        <w:rPr>
          <w:rFonts w:ascii="Times New Roman" w:hAnsi="Times New Roman" w:cs="Times New Roman"/>
          <w:b/>
          <w:bCs/>
        </w:rPr>
        <w:t>Rather t</w:t>
      </w:r>
      <w:r w:rsidR="00990F81" w:rsidRPr="003C5914">
        <w:rPr>
          <w:rFonts w:ascii="Times New Roman" w:hAnsi="Times New Roman" w:cs="Times New Roman"/>
          <w:b/>
          <w:bCs/>
        </w:rPr>
        <w:t>he DEIS</w:t>
      </w:r>
      <w:r w:rsidR="00864AA7" w:rsidRPr="003C5914">
        <w:rPr>
          <w:rFonts w:ascii="Times New Roman" w:hAnsi="Times New Roman" w:cs="Times New Roman"/>
          <w:b/>
          <w:bCs/>
        </w:rPr>
        <w:t xml:space="preserve"> targets </w:t>
      </w:r>
      <w:r w:rsidR="00E8381A" w:rsidRPr="003C5914">
        <w:rPr>
          <w:rFonts w:ascii="Times New Roman" w:hAnsi="Times New Roman" w:cs="Times New Roman"/>
          <w:b/>
          <w:bCs/>
        </w:rPr>
        <w:t>an</w:t>
      </w:r>
      <w:r w:rsidR="00864AA7" w:rsidRPr="003C5914">
        <w:rPr>
          <w:rFonts w:ascii="Times New Roman" w:hAnsi="Times New Roman" w:cs="Times New Roman"/>
          <w:b/>
          <w:bCs/>
        </w:rPr>
        <w:t xml:space="preserve"> SDI range of 50-200 </w:t>
      </w:r>
      <w:r w:rsidR="00864AA7" w:rsidRPr="003C5914">
        <w:rPr>
          <w:rFonts w:ascii="Times New Roman" w:hAnsi="Times New Roman" w:cs="Times New Roman"/>
        </w:rPr>
        <w:t>(DEIS p. 21)</w:t>
      </w:r>
      <w:r w:rsidR="003C5914">
        <w:rPr>
          <w:rFonts w:ascii="Times New Roman" w:hAnsi="Times New Roman" w:cs="Times New Roman"/>
        </w:rPr>
        <w:t>.</w:t>
      </w:r>
    </w:p>
    <w:p w14:paraId="7B884CF9" w14:textId="77777777" w:rsidR="00990F81" w:rsidRPr="003C5914" w:rsidRDefault="00990F81" w:rsidP="003C5914">
      <w:pPr>
        <w:rPr>
          <w:rFonts w:ascii="Times New Roman" w:hAnsi="Times New Roman" w:cs="Times New Roman"/>
        </w:rPr>
      </w:pP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2977"/>
        <w:gridCol w:w="2977"/>
        <w:gridCol w:w="2977"/>
      </w:tblGrid>
      <w:tr w:rsidR="00990F81" w:rsidRPr="003C5914" w14:paraId="3F7BE886" w14:textId="77777777" w:rsidTr="00E8381A">
        <w:trPr>
          <w:trHeight w:val="260"/>
        </w:trPr>
        <w:tc>
          <w:tcPr>
            <w:tcW w:w="2977" w:type="dxa"/>
            <w:tcBorders>
              <w:top w:val="single" w:sz="4" w:space="0" w:color="auto"/>
              <w:left w:val="single" w:sz="4" w:space="0" w:color="auto"/>
              <w:bottom w:val="single" w:sz="4" w:space="0" w:color="auto"/>
              <w:right w:val="nil"/>
            </w:tcBorders>
          </w:tcPr>
          <w:p w14:paraId="5BEE5B6A" w14:textId="77777777" w:rsidR="00990F81" w:rsidRPr="003C5914" w:rsidRDefault="00990F81" w:rsidP="003C5914">
            <w:pPr>
              <w:pStyle w:val="Default"/>
              <w:rPr>
                <w:rFonts w:ascii="Times New Roman" w:hAnsi="Times New Roman" w:cs="Times New Roman"/>
              </w:rPr>
            </w:pPr>
            <w:r w:rsidRPr="003C5914">
              <w:rPr>
                <w:rFonts w:ascii="Times New Roman" w:hAnsi="Times New Roman" w:cs="Times New Roman"/>
                <w:b/>
                <w:bCs/>
              </w:rPr>
              <w:t xml:space="preserve">Table 3. Desired structure within forested stands based on NRV. Forest Type </w:t>
            </w:r>
          </w:p>
        </w:tc>
        <w:tc>
          <w:tcPr>
            <w:tcW w:w="2977" w:type="dxa"/>
            <w:tcBorders>
              <w:top w:val="single" w:sz="4" w:space="0" w:color="auto"/>
              <w:left w:val="nil"/>
              <w:bottom w:val="single" w:sz="4" w:space="0" w:color="auto"/>
              <w:right w:val="nil"/>
            </w:tcBorders>
          </w:tcPr>
          <w:p w14:paraId="6235CC65" w14:textId="77777777" w:rsidR="00990F81" w:rsidRPr="003C5914" w:rsidRDefault="00990F81" w:rsidP="003C5914">
            <w:pPr>
              <w:pStyle w:val="Default"/>
              <w:rPr>
                <w:rFonts w:ascii="Times New Roman" w:hAnsi="Times New Roman" w:cs="Times New Roman"/>
              </w:rPr>
            </w:pPr>
            <w:r w:rsidRPr="003C5914">
              <w:rPr>
                <w:rFonts w:ascii="Times New Roman" w:hAnsi="Times New Roman" w:cs="Times New Roman"/>
                <w:b/>
                <w:bCs/>
              </w:rPr>
              <w:t xml:space="preserve">Tree Basal Area </w:t>
            </w:r>
          </w:p>
          <w:p w14:paraId="44EF2531" w14:textId="77777777" w:rsidR="00990F81" w:rsidRPr="003C5914" w:rsidRDefault="00990F81" w:rsidP="003C5914">
            <w:pPr>
              <w:pStyle w:val="Default"/>
              <w:rPr>
                <w:rFonts w:ascii="Times New Roman" w:hAnsi="Times New Roman" w:cs="Times New Roman"/>
              </w:rPr>
            </w:pPr>
            <w:r w:rsidRPr="003C5914">
              <w:rPr>
                <w:rFonts w:ascii="Times New Roman" w:hAnsi="Times New Roman" w:cs="Times New Roman"/>
                <w:b/>
                <w:bCs/>
              </w:rPr>
              <w:t xml:space="preserve">(square feet per acre) </w:t>
            </w:r>
          </w:p>
        </w:tc>
        <w:tc>
          <w:tcPr>
            <w:tcW w:w="2977" w:type="dxa"/>
            <w:tcBorders>
              <w:top w:val="single" w:sz="4" w:space="0" w:color="auto"/>
              <w:left w:val="nil"/>
              <w:bottom w:val="single" w:sz="4" w:space="0" w:color="auto"/>
              <w:right w:val="single" w:sz="4" w:space="0" w:color="auto"/>
            </w:tcBorders>
          </w:tcPr>
          <w:p w14:paraId="2572B539" w14:textId="77777777" w:rsidR="00990F81" w:rsidRPr="003C5914" w:rsidRDefault="00990F81" w:rsidP="003C5914">
            <w:pPr>
              <w:pStyle w:val="Default"/>
              <w:rPr>
                <w:rFonts w:ascii="Times New Roman" w:hAnsi="Times New Roman" w:cs="Times New Roman"/>
              </w:rPr>
            </w:pPr>
            <w:r w:rsidRPr="003C5914">
              <w:rPr>
                <w:rFonts w:ascii="Times New Roman" w:hAnsi="Times New Roman" w:cs="Times New Roman"/>
                <w:b/>
                <w:bCs/>
              </w:rPr>
              <w:t xml:space="preserve">Tree Canopy Cover </w:t>
            </w:r>
          </w:p>
          <w:p w14:paraId="3C9F1F2D" w14:textId="77777777" w:rsidR="00990F81" w:rsidRPr="003C5914" w:rsidRDefault="00990F81" w:rsidP="003C5914">
            <w:pPr>
              <w:pStyle w:val="Default"/>
              <w:rPr>
                <w:rFonts w:ascii="Times New Roman" w:hAnsi="Times New Roman" w:cs="Times New Roman"/>
              </w:rPr>
            </w:pPr>
            <w:r w:rsidRPr="003C5914">
              <w:rPr>
                <w:rFonts w:ascii="Times New Roman" w:hAnsi="Times New Roman" w:cs="Times New Roman"/>
                <w:b/>
                <w:bCs/>
              </w:rPr>
              <w:t xml:space="preserve">(percent overhead canopy) </w:t>
            </w:r>
          </w:p>
        </w:tc>
      </w:tr>
      <w:tr w:rsidR="00990F81" w:rsidRPr="003C5914" w14:paraId="63785091" w14:textId="77777777" w:rsidTr="00E8381A">
        <w:trPr>
          <w:trHeight w:val="133"/>
        </w:trPr>
        <w:tc>
          <w:tcPr>
            <w:tcW w:w="2977" w:type="dxa"/>
            <w:tcBorders>
              <w:top w:val="single" w:sz="4" w:space="0" w:color="auto"/>
              <w:bottom w:val="none" w:sz="6" w:space="0" w:color="auto"/>
              <w:right w:val="none" w:sz="6" w:space="0" w:color="auto"/>
            </w:tcBorders>
          </w:tcPr>
          <w:p w14:paraId="0F943B18" w14:textId="77777777" w:rsidR="00990F81" w:rsidRPr="003C5914" w:rsidRDefault="00990F81" w:rsidP="003C5914">
            <w:pPr>
              <w:pStyle w:val="Default"/>
              <w:rPr>
                <w:rFonts w:ascii="Times New Roman" w:hAnsi="Times New Roman" w:cs="Times New Roman"/>
              </w:rPr>
            </w:pPr>
            <w:r w:rsidRPr="003C5914">
              <w:rPr>
                <w:rFonts w:ascii="Times New Roman" w:hAnsi="Times New Roman" w:cs="Times New Roman"/>
              </w:rPr>
              <w:t xml:space="preserve">Pine / Dry Mixed Conifer </w:t>
            </w:r>
          </w:p>
        </w:tc>
        <w:tc>
          <w:tcPr>
            <w:tcW w:w="2977" w:type="dxa"/>
            <w:tcBorders>
              <w:top w:val="single" w:sz="4" w:space="0" w:color="auto"/>
              <w:left w:val="none" w:sz="6" w:space="0" w:color="auto"/>
              <w:bottom w:val="none" w:sz="6" w:space="0" w:color="auto"/>
              <w:right w:val="none" w:sz="6" w:space="0" w:color="auto"/>
            </w:tcBorders>
          </w:tcPr>
          <w:p w14:paraId="44ABB619" w14:textId="77777777" w:rsidR="00990F81" w:rsidRPr="003C5914" w:rsidRDefault="00990F81" w:rsidP="003C5914">
            <w:pPr>
              <w:pStyle w:val="Default"/>
              <w:rPr>
                <w:rFonts w:ascii="Times New Roman" w:hAnsi="Times New Roman" w:cs="Times New Roman"/>
              </w:rPr>
            </w:pPr>
            <w:r w:rsidRPr="003C5914">
              <w:rPr>
                <w:rFonts w:ascii="Times New Roman" w:hAnsi="Times New Roman" w:cs="Times New Roman"/>
              </w:rPr>
              <w:t xml:space="preserve">20-200 (mostly less than 150) </w:t>
            </w:r>
          </w:p>
        </w:tc>
        <w:tc>
          <w:tcPr>
            <w:tcW w:w="2977" w:type="dxa"/>
            <w:tcBorders>
              <w:top w:val="single" w:sz="4" w:space="0" w:color="auto"/>
              <w:left w:val="none" w:sz="6" w:space="0" w:color="auto"/>
              <w:bottom w:val="none" w:sz="6" w:space="0" w:color="auto"/>
            </w:tcBorders>
          </w:tcPr>
          <w:p w14:paraId="0A75C7A2" w14:textId="77777777" w:rsidR="00990F81" w:rsidRPr="003C5914" w:rsidRDefault="00990F81" w:rsidP="003C5914">
            <w:pPr>
              <w:pStyle w:val="Default"/>
              <w:rPr>
                <w:rFonts w:ascii="Times New Roman" w:hAnsi="Times New Roman" w:cs="Times New Roman"/>
              </w:rPr>
            </w:pPr>
            <w:r w:rsidRPr="003C5914">
              <w:rPr>
                <w:rFonts w:ascii="Times New Roman" w:hAnsi="Times New Roman" w:cs="Times New Roman"/>
              </w:rPr>
              <w:t xml:space="preserve">10-50 (may exceed 50 in small patches) </w:t>
            </w:r>
          </w:p>
        </w:tc>
      </w:tr>
      <w:tr w:rsidR="00990F81" w:rsidRPr="003C5914" w14:paraId="5027E5A0" w14:textId="77777777">
        <w:trPr>
          <w:trHeight w:val="133"/>
        </w:trPr>
        <w:tc>
          <w:tcPr>
            <w:tcW w:w="2977" w:type="dxa"/>
            <w:tcBorders>
              <w:top w:val="none" w:sz="6" w:space="0" w:color="auto"/>
              <w:bottom w:val="none" w:sz="6" w:space="0" w:color="auto"/>
              <w:right w:val="none" w:sz="6" w:space="0" w:color="auto"/>
            </w:tcBorders>
          </w:tcPr>
          <w:p w14:paraId="19B7A5CB" w14:textId="77777777" w:rsidR="00990F81" w:rsidRPr="003C5914" w:rsidRDefault="00990F81" w:rsidP="003C5914">
            <w:pPr>
              <w:pStyle w:val="Default"/>
              <w:rPr>
                <w:rFonts w:ascii="Times New Roman" w:hAnsi="Times New Roman" w:cs="Times New Roman"/>
              </w:rPr>
            </w:pPr>
            <w:r w:rsidRPr="003C5914">
              <w:rPr>
                <w:rFonts w:ascii="Times New Roman" w:hAnsi="Times New Roman" w:cs="Times New Roman"/>
              </w:rPr>
              <w:t xml:space="preserve">Moist Mixed Conifer / Fir </w:t>
            </w:r>
          </w:p>
        </w:tc>
        <w:tc>
          <w:tcPr>
            <w:tcW w:w="2977" w:type="dxa"/>
            <w:tcBorders>
              <w:top w:val="none" w:sz="6" w:space="0" w:color="auto"/>
              <w:left w:val="none" w:sz="6" w:space="0" w:color="auto"/>
              <w:bottom w:val="none" w:sz="6" w:space="0" w:color="auto"/>
              <w:right w:val="none" w:sz="6" w:space="0" w:color="auto"/>
            </w:tcBorders>
          </w:tcPr>
          <w:p w14:paraId="35600B6D" w14:textId="77777777" w:rsidR="00990F81" w:rsidRPr="003C5914" w:rsidRDefault="00990F81" w:rsidP="003C5914">
            <w:pPr>
              <w:pStyle w:val="Default"/>
              <w:rPr>
                <w:rFonts w:ascii="Times New Roman" w:hAnsi="Times New Roman" w:cs="Times New Roman"/>
              </w:rPr>
            </w:pPr>
            <w:r w:rsidRPr="003C5914">
              <w:rPr>
                <w:rFonts w:ascii="Times New Roman" w:hAnsi="Times New Roman" w:cs="Times New Roman"/>
              </w:rPr>
              <w:t xml:space="preserve">50-300 (mostly less than 200) </w:t>
            </w:r>
          </w:p>
        </w:tc>
        <w:tc>
          <w:tcPr>
            <w:tcW w:w="2977" w:type="dxa"/>
            <w:tcBorders>
              <w:top w:val="none" w:sz="6" w:space="0" w:color="auto"/>
              <w:left w:val="none" w:sz="6" w:space="0" w:color="auto"/>
              <w:bottom w:val="none" w:sz="6" w:space="0" w:color="auto"/>
            </w:tcBorders>
          </w:tcPr>
          <w:p w14:paraId="40A334A8" w14:textId="77777777" w:rsidR="00990F81" w:rsidRPr="003C5914" w:rsidRDefault="00990F81" w:rsidP="003C5914">
            <w:pPr>
              <w:pStyle w:val="Default"/>
              <w:rPr>
                <w:rFonts w:ascii="Times New Roman" w:hAnsi="Times New Roman" w:cs="Times New Roman"/>
              </w:rPr>
            </w:pPr>
            <w:r w:rsidRPr="003C5914">
              <w:rPr>
                <w:rFonts w:ascii="Times New Roman" w:hAnsi="Times New Roman" w:cs="Times New Roman"/>
              </w:rPr>
              <w:t xml:space="preserve">20-75 (may exceed 75 in small patches) </w:t>
            </w:r>
          </w:p>
        </w:tc>
      </w:tr>
    </w:tbl>
    <w:p w14:paraId="149EC976" w14:textId="34797797" w:rsidR="00E8381A" w:rsidRPr="003C5914" w:rsidRDefault="00E8381A" w:rsidP="003C5914">
      <w:pPr>
        <w:rPr>
          <w:rFonts w:ascii="Times New Roman" w:hAnsi="Times New Roman" w:cs="Times New Roman"/>
        </w:rPr>
      </w:pPr>
    </w:p>
    <w:p w14:paraId="32ED9DA5" w14:textId="77777777" w:rsidR="00E8381A" w:rsidRPr="003C5914" w:rsidRDefault="00E8381A" w:rsidP="003C5914">
      <w:pPr>
        <w:rPr>
          <w:rFonts w:ascii="Times New Roman" w:hAnsi="Times New Roman" w:cs="Times New Roman"/>
        </w:rPr>
      </w:pPr>
      <w:r w:rsidRPr="003C5914">
        <w:rPr>
          <w:rFonts w:ascii="Times New Roman" w:hAnsi="Times New Roman" w:cs="Times New Roman"/>
        </w:rPr>
        <w:br w:type="page"/>
      </w:r>
    </w:p>
    <w:p w14:paraId="602632D8" w14:textId="77777777" w:rsidR="00990F81" w:rsidRPr="003C5914" w:rsidRDefault="00990F81" w:rsidP="003C5914">
      <w:pPr>
        <w:rPr>
          <w:rFonts w:ascii="Times New Roman" w:hAnsi="Times New Roman" w:cs="Times New Roman"/>
        </w:rPr>
      </w:pP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2084"/>
        <w:gridCol w:w="2084"/>
        <w:gridCol w:w="2084"/>
        <w:gridCol w:w="2084"/>
      </w:tblGrid>
      <w:tr w:rsidR="00990F81" w:rsidRPr="003C5914" w14:paraId="271B2C23" w14:textId="77777777" w:rsidTr="00E8381A">
        <w:trPr>
          <w:trHeight w:val="260"/>
        </w:trPr>
        <w:tc>
          <w:tcPr>
            <w:tcW w:w="2084" w:type="dxa"/>
            <w:tcBorders>
              <w:top w:val="single" w:sz="4" w:space="0" w:color="auto"/>
              <w:left w:val="single" w:sz="4" w:space="0" w:color="auto"/>
              <w:bottom w:val="single" w:sz="4" w:space="0" w:color="auto"/>
              <w:right w:val="nil"/>
            </w:tcBorders>
          </w:tcPr>
          <w:p w14:paraId="77E88C63" w14:textId="77777777" w:rsidR="00990F81" w:rsidRPr="003C5914" w:rsidRDefault="00990F81" w:rsidP="003C5914">
            <w:pPr>
              <w:pStyle w:val="Default"/>
              <w:rPr>
                <w:rFonts w:ascii="Times New Roman" w:hAnsi="Times New Roman" w:cs="Times New Roman"/>
              </w:rPr>
            </w:pPr>
            <w:r w:rsidRPr="003C5914">
              <w:rPr>
                <w:rFonts w:ascii="Times New Roman" w:hAnsi="Times New Roman" w:cs="Times New Roman"/>
                <w:b/>
                <w:bCs/>
              </w:rPr>
              <w:t xml:space="preserve">Table 4. Approximate Stand Density Index (SDI) targets. Forest Type </w:t>
            </w:r>
          </w:p>
        </w:tc>
        <w:tc>
          <w:tcPr>
            <w:tcW w:w="2084" w:type="dxa"/>
            <w:tcBorders>
              <w:top w:val="single" w:sz="4" w:space="0" w:color="auto"/>
              <w:left w:val="nil"/>
              <w:bottom w:val="single" w:sz="4" w:space="0" w:color="auto"/>
              <w:right w:val="nil"/>
            </w:tcBorders>
          </w:tcPr>
          <w:p w14:paraId="2F5EB5FD" w14:textId="77777777" w:rsidR="00990F81" w:rsidRPr="003C5914" w:rsidRDefault="00990F81" w:rsidP="003C5914">
            <w:pPr>
              <w:pStyle w:val="Default"/>
              <w:rPr>
                <w:rFonts w:ascii="Times New Roman" w:hAnsi="Times New Roman" w:cs="Times New Roman"/>
              </w:rPr>
            </w:pPr>
            <w:r w:rsidRPr="003C5914">
              <w:rPr>
                <w:rFonts w:ascii="Times New Roman" w:hAnsi="Times New Roman" w:cs="Times New Roman"/>
                <w:b/>
                <w:bCs/>
              </w:rPr>
              <w:t xml:space="preserve">Ridge </w:t>
            </w:r>
          </w:p>
          <w:p w14:paraId="5F7886D8" w14:textId="77777777" w:rsidR="00990F81" w:rsidRPr="003C5914" w:rsidRDefault="00990F81" w:rsidP="003C5914">
            <w:pPr>
              <w:pStyle w:val="Default"/>
              <w:rPr>
                <w:rFonts w:ascii="Times New Roman" w:hAnsi="Times New Roman" w:cs="Times New Roman"/>
              </w:rPr>
            </w:pPr>
            <w:r w:rsidRPr="003C5914">
              <w:rPr>
                <w:rFonts w:ascii="Times New Roman" w:hAnsi="Times New Roman" w:cs="Times New Roman"/>
                <w:b/>
                <w:bCs/>
              </w:rPr>
              <w:t xml:space="preserve">SDI Range </w:t>
            </w:r>
          </w:p>
        </w:tc>
        <w:tc>
          <w:tcPr>
            <w:tcW w:w="2084" w:type="dxa"/>
            <w:tcBorders>
              <w:top w:val="single" w:sz="4" w:space="0" w:color="auto"/>
              <w:left w:val="nil"/>
              <w:bottom w:val="single" w:sz="4" w:space="0" w:color="auto"/>
              <w:right w:val="nil"/>
            </w:tcBorders>
          </w:tcPr>
          <w:p w14:paraId="2DDA07CD" w14:textId="77777777" w:rsidR="00990F81" w:rsidRPr="003C5914" w:rsidRDefault="00990F81" w:rsidP="003C5914">
            <w:pPr>
              <w:pStyle w:val="Default"/>
              <w:rPr>
                <w:rFonts w:ascii="Times New Roman" w:hAnsi="Times New Roman" w:cs="Times New Roman"/>
              </w:rPr>
            </w:pPr>
            <w:r w:rsidRPr="003C5914">
              <w:rPr>
                <w:rFonts w:ascii="Times New Roman" w:hAnsi="Times New Roman" w:cs="Times New Roman"/>
                <w:b/>
                <w:bCs/>
              </w:rPr>
              <w:t xml:space="preserve">Mid-Slope </w:t>
            </w:r>
          </w:p>
          <w:p w14:paraId="206A1C91" w14:textId="77777777" w:rsidR="00990F81" w:rsidRPr="003C5914" w:rsidRDefault="00990F81" w:rsidP="003C5914">
            <w:pPr>
              <w:pStyle w:val="Default"/>
              <w:rPr>
                <w:rFonts w:ascii="Times New Roman" w:hAnsi="Times New Roman" w:cs="Times New Roman"/>
              </w:rPr>
            </w:pPr>
            <w:r w:rsidRPr="003C5914">
              <w:rPr>
                <w:rFonts w:ascii="Times New Roman" w:hAnsi="Times New Roman" w:cs="Times New Roman"/>
                <w:b/>
                <w:bCs/>
              </w:rPr>
              <w:t xml:space="preserve">SDI Range </w:t>
            </w:r>
          </w:p>
        </w:tc>
        <w:tc>
          <w:tcPr>
            <w:tcW w:w="2084" w:type="dxa"/>
            <w:tcBorders>
              <w:top w:val="single" w:sz="4" w:space="0" w:color="auto"/>
              <w:left w:val="nil"/>
              <w:bottom w:val="single" w:sz="4" w:space="0" w:color="auto"/>
              <w:right w:val="single" w:sz="4" w:space="0" w:color="auto"/>
            </w:tcBorders>
          </w:tcPr>
          <w:p w14:paraId="21D69908" w14:textId="77777777" w:rsidR="00990F81" w:rsidRPr="003C5914" w:rsidRDefault="00990F81" w:rsidP="003C5914">
            <w:pPr>
              <w:pStyle w:val="Default"/>
              <w:rPr>
                <w:rFonts w:ascii="Times New Roman" w:hAnsi="Times New Roman" w:cs="Times New Roman"/>
              </w:rPr>
            </w:pPr>
            <w:r w:rsidRPr="003C5914">
              <w:rPr>
                <w:rFonts w:ascii="Times New Roman" w:hAnsi="Times New Roman" w:cs="Times New Roman"/>
                <w:b/>
                <w:bCs/>
              </w:rPr>
              <w:t xml:space="preserve">Drainage </w:t>
            </w:r>
          </w:p>
          <w:p w14:paraId="40B97DC8" w14:textId="77777777" w:rsidR="00990F81" w:rsidRPr="003C5914" w:rsidRDefault="00990F81" w:rsidP="003C5914">
            <w:pPr>
              <w:pStyle w:val="Default"/>
              <w:rPr>
                <w:rFonts w:ascii="Times New Roman" w:hAnsi="Times New Roman" w:cs="Times New Roman"/>
              </w:rPr>
            </w:pPr>
            <w:r w:rsidRPr="003C5914">
              <w:rPr>
                <w:rFonts w:ascii="Times New Roman" w:hAnsi="Times New Roman" w:cs="Times New Roman"/>
                <w:b/>
                <w:bCs/>
              </w:rPr>
              <w:t xml:space="preserve">SDI Range </w:t>
            </w:r>
          </w:p>
        </w:tc>
      </w:tr>
      <w:tr w:rsidR="00990F81" w:rsidRPr="003C5914" w14:paraId="46B1B9C2" w14:textId="77777777" w:rsidTr="00E8381A">
        <w:trPr>
          <w:trHeight w:val="133"/>
        </w:trPr>
        <w:tc>
          <w:tcPr>
            <w:tcW w:w="2084" w:type="dxa"/>
            <w:tcBorders>
              <w:top w:val="single" w:sz="4" w:space="0" w:color="auto"/>
              <w:bottom w:val="none" w:sz="6" w:space="0" w:color="auto"/>
              <w:right w:val="none" w:sz="6" w:space="0" w:color="auto"/>
            </w:tcBorders>
          </w:tcPr>
          <w:p w14:paraId="58790352" w14:textId="77777777" w:rsidR="00990F81" w:rsidRPr="003C5914" w:rsidRDefault="00990F81" w:rsidP="003C5914">
            <w:pPr>
              <w:pStyle w:val="Default"/>
              <w:rPr>
                <w:rFonts w:ascii="Times New Roman" w:hAnsi="Times New Roman" w:cs="Times New Roman"/>
              </w:rPr>
            </w:pPr>
            <w:r w:rsidRPr="003C5914">
              <w:rPr>
                <w:rFonts w:ascii="Times New Roman" w:hAnsi="Times New Roman" w:cs="Times New Roman"/>
              </w:rPr>
              <w:t xml:space="preserve">Pine </w:t>
            </w:r>
          </w:p>
        </w:tc>
        <w:tc>
          <w:tcPr>
            <w:tcW w:w="2084" w:type="dxa"/>
            <w:tcBorders>
              <w:top w:val="single" w:sz="4" w:space="0" w:color="auto"/>
              <w:left w:val="none" w:sz="6" w:space="0" w:color="auto"/>
              <w:bottom w:val="none" w:sz="6" w:space="0" w:color="auto"/>
              <w:right w:val="none" w:sz="6" w:space="0" w:color="auto"/>
            </w:tcBorders>
          </w:tcPr>
          <w:p w14:paraId="35813B01" w14:textId="77777777" w:rsidR="00990F81" w:rsidRPr="003C5914" w:rsidRDefault="00990F81" w:rsidP="003C5914">
            <w:pPr>
              <w:pStyle w:val="Default"/>
              <w:rPr>
                <w:rFonts w:ascii="Times New Roman" w:hAnsi="Times New Roman" w:cs="Times New Roman"/>
              </w:rPr>
            </w:pPr>
            <w:r w:rsidRPr="003C5914">
              <w:rPr>
                <w:rFonts w:ascii="Times New Roman" w:hAnsi="Times New Roman" w:cs="Times New Roman"/>
              </w:rPr>
              <w:t xml:space="preserve">50-100 </w:t>
            </w:r>
          </w:p>
        </w:tc>
        <w:tc>
          <w:tcPr>
            <w:tcW w:w="2084" w:type="dxa"/>
            <w:tcBorders>
              <w:top w:val="single" w:sz="4" w:space="0" w:color="auto"/>
              <w:left w:val="none" w:sz="6" w:space="0" w:color="auto"/>
              <w:bottom w:val="none" w:sz="6" w:space="0" w:color="auto"/>
              <w:right w:val="none" w:sz="6" w:space="0" w:color="auto"/>
            </w:tcBorders>
          </w:tcPr>
          <w:p w14:paraId="39C16384" w14:textId="77777777" w:rsidR="00990F81" w:rsidRPr="003C5914" w:rsidRDefault="00990F81" w:rsidP="003C5914">
            <w:pPr>
              <w:pStyle w:val="Default"/>
              <w:rPr>
                <w:rFonts w:ascii="Times New Roman" w:hAnsi="Times New Roman" w:cs="Times New Roman"/>
              </w:rPr>
            </w:pPr>
            <w:r w:rsidRPr="003C5914">
              <w:rPr>
                <w:rFonts w:ascii="Times New Roman" w:hAnsi="Times New Roman" w:cs="Times New Roman"/>
              </w:rPr>
              <w:t xml:space="preserve">75-125 </w:t>
            </w:r>
          </w:p>
        </w:tc>
        <w:tc>
          <w:tcPr>
            <w:tcW w:w="2084" w:type="dxa"/>
            <w:tcBorders>
              <w:top w:val="single" w:sz="4" w:space="0" w:color="auto"/>
              <w:left w:val="none" w:sz="6" w:space="0" w:color="auto"/>
              <w:bottom w:val="none" w:sz="6" w:space="0" w:color="auto"/>
            </w:tcBorders>
          </w:tcPr>
          <w:p w14:paraId="4B1383BD" w14:textId="77777777" w:rsidR="00990F81" w:rsidRPr="003C5914" w:rsidRDefault="00990F81" w:rsidP="003C5914">
            <w:pPr>
              <w:pStyle w:val="Default"/>
              <w:rPr>
                <w:rFonts w:ascii="Times New Roman" w:hAnsi="Times New Roman" w:cs="Times New Roman"/>
              </w:rPr>
            </w:pPr>
            <w:r w:rsidRPr="003C5914">
              <w:rPr>
                <w:rFonts w:ascii="Times New Roman" w:hAnsi="Times New Roman" w:cs="Times New Roman"/>
              </w:rPr>
              <w:t xml:space="preserve">100-150 </w:t>
            </w:r>
          </w:p>
        </w:tc>
      </w:tr>
      <w:tr w:rsidR="00990F81" w:rsidRPr="003C5914" w14:paraId="7897B868" w14:textId="77777777">
        <w:trPr>
          <w:trHeight w:val="133"/>
        </w:trPr>
        <w:tc>
          <w:tcPr>
            <w:tcW w:w="2084" w:type="dxa"/>
            <w:tcBorders>
              <w:top w:val="none" w:sz="6" w:space="0" w:color="auto"/>
              <w:bottom w:val="none" w:sz="6" w:space="0" w:color="auto"/>
              <w:right w:val="none" w:sz="6" w:space="0" w:color="auto"/>
            </w:tcBorders>
          </w:tcPr>
          <w:p w14:paraId="2B3027FC" w14:textId="77777777" w:rsidR="00990F81" w:rsidRPr="003C5914" w:rsidRDefault="00990F81" w:rsidP="003C5914">
            <w:pPr>
              <w:pStyle w:val="Default"/>
              <w:rPr>
                <w:rFonts w:ascii="Times New Roman" w:hAnsi="Times New Roman" w:cs="Times New Roman"/>
              </w:rPr>
            </w:pPr>
            <w:r w:rsidRPr="003C5914">
              <w:rPr>
                <w:rFonts w:ascii="Times New Roman" w:hAnsi="Times New Roman" w:cs="Times New Roman"/>
              </w:rPr>
              <w:t xml:space="preserve">Dry-Mixed Conifer </w:t>
            </w:r>
          </w:p>
        </w:tc>
        <w:tc>
          <w:tcPr>
            <w:tcW w:w="2084" w:type="dxa"/>
            <w:tcBorders>
              <w:top w:val="none" w:sz="6" w:space="0" w:color="auto"/>
              <w:left w:val="none" w:sz="6" w:space="0" w:color="auto"/>
              <w:bottom w:val="none" w:sz="6" w:space="0" w:color="auto"/>
              <w:right w:val="none" w:sz="6" w:space="0" w:color="auto"/>
            </w:tcBorders>
          </w:tcPr>
          <w:p w14:paraId="717AC696" w14:textId="77777777" w:rsidR="00990F81" w:rsidRPr="003C5914" w:rsidRDefault="00990F81" w:rsidP="003C5914">
            <w:pPr>
              <w:pStyle w:val="Default"/>
              <w:rPr>
                <w:rFonts w:ascii="Times New Roman" w:hAnsi="Times New Roman" w:cs="Times New Roman"/>
              </w:rPr>
            </w:pPr>
            <w:r w:rsidRPr="003C5914">
              <w:rPr>
                <w:rFonts w:ascii="Times New Roman" w:hAnsi="Times New Roman" w:cs="Times New Roman"/>
              </w:rPr>
              <w:t xml:space="preserve">100-150 </w:t>
            </w:r>
          </w:p>
        </w:tc>
        <w:tc>
          <w:tcPr>
            <w:tcW w:w="2084" w:type="dxa"/>
            <w:tcBorders>
              <w:top w:val="none" w:sz="6" w:space="0" w:color="auto"/>
              <w:left w:val="none" w:sz="6" w:space="0" w:color="auto"/>
              <w:bottom w:val="none" w:sz="6" w:space="0" w:color="auto"/>
              <w:right w:val="none" w:sz="6" w:space="0" w:color="auto"/>
            </w:tcBorders>
          </w:tcPr>
          <w:p w14:paraId="0E2152BE" w14:textId="77777777" w:rsidR="00990F81" w:rsidRPr="003C5914" w:rsidRDefault="00990F81" w:rsidP="003C5914">
            <w:pPr>
              <w:pStyle w:val="Default"/>
              <w:rPr>
                <w:rFonts w:ascii="Times New Roman" w:hAnsi="Times New Roman" w:cs="Times New Roman"/>
              </w:rPr>
            </w:pPr>
            <w:r w:rsidRPr="003C5914">
              <w:rPr>
                <w:rFonts w:ascii="Times New Roman" w:hAnsi="Times New Roman" w:cs="Times New Roman"/>
              </w:rPr>
              <w:t xml:space="preserve">125-175 </w:t>
            </w:r>
          </w:p>
        </w:tc>
        <w:tc>
          <w:tcPr>
            <w:tcW w:w="2084" w:type="dxa"/>
            <w:tcBorders>
              <w:top w:val="none" w:sz="6" w:space="0" w:color="auto"/>
              <w:left w:val="none" w:sz="6" w:space="0" w:color="auto"/>
              <w:bottom w:val="none" w:sz="6" w:space="0" w:color="auto"/>
            </w:tcBorders>
          </w:tcPr>
          <w:p w14:paraId="2F700C61" w14:textId="77777777" w:rsidR="00990F81" w:rsidRPr="003C5914" w:rsidRDefault="00990F81" w:rsidP="003C5914">
            <w:pPr>
              <w:pStyle w:val="Default"/>
              <w:rPr>
                <w:rFonts w:ascii="Times New Roman" w:hAnsi="Times New Roman" w:cs="Times New Roman"/>
              </w:rPr>
            </w:pPr>
            <w:r w:rsidRPr="003C5914">
              <w:rPr>
                <w:rFonts w:ascii="Times New Roman" w:hAnsi="Times New Roman" w:cs="Times New Roman"/>
              </w:rPr>
              <w:t xml:space="preserve">150-200 </w:t>
            </w:r>
          </w:p>
        </w:tc>
      </w:tr>
      <w:tr w:rsidR="00990F81" w:rsidRPr="003C5914" w14:paraId="2BC801F1" w14:textId="77777777">
        <w:trPr>
          <w:trHeight w:val="133"/>
        </w:trPr>
        <w:tc>
          <w:tcPr>
            <w:tcW w:w="2084" w:type="dxa"/>
            <w:tcBorders>
              <w:top w:val="none" w:sz="6" w:space="0" w:color="auto"/>
              <w:bottom w:val="none" w:sz="6" w:space="0" w:color="auto"/>
              <w:right w:val="none" w:sz="6" w:space="0" w:color="auto"/>
            </w:tcBorders>
          </w:tcPr>
          <w:p w14:paraId="6F8A5F72" w14:textId="77777777" w:rsidR="00990F81" w:rsidRPr="003C5914" w:rsidRDefault="00990F81" w:rsidP="003C5914">
            <w:pPr>
              <w:pStyle w:val="Default"/>
              <w:rPr>
                <w:rFonts w:ascii="Times New Roman" w:hAnsi="Times New Roman" w:cs="Times New Roman"/>
              </w:rPr>
            </w:pPr>
            <w:r w:rsidRPr="003C5914">
              <w:rPr>
                <w:rFonts w:ascii="Times New Roman" w:hAnsi="Times New Roman" w:cs="Times New Roman"/>
              </w:rPr>
              <w:t xml:space="preserve">Moist-Mixed Conifer </w:t>
            </w:r>
          </w:p>
        </w:tc>
        <w:tc>
          <w:tcPr>
            <w:tcW w:w="2084" w:type="dxa"/>
            <w:tcBorders>
              <w:top w:val="none" w:sz="6" w:space="0" w:color="auto"/>
              <w:left w:val="none" w:sz="6" w:space="0" w:color="auto"/>
              <w:bottom w:val="none" w:sz="6" w:space="0" w:color="auto"/>
              <w:right w:val="none" w:sz="6" w:space="0" w:color="auto"/>
            </w:tcBorders>
          </w:tcPr>
          <w:p w14:paraId="2A7C8762" w14:textId="77777777" w:rsidR="00990F81" w:rsidRPr="003C5914" w:rsidRDefault="00990F81" w:rsidP="003C5914">
            <w:pPr>
              <w:pStyle w:val="Default"/>
              <w:rPr>
                <w:rFonts w:ascii="Times New Roman" w:hAnsi="Times New Roman" w:cs="Times New Roman"/>
              </w:rPr>
            </w:pPr>
            <w:r w:rsidRPr="003C5914">
              <w:rPr>
                <w:rFonts w:ascii="Times New Roman" w:hAnsi="Times New Roman" w:cs="Times New Roman"/>
              </w:rPr>
              <w:t xml:space="preserve">150-200 </w:t>
            </w:r>
          </w:p>
        </w:tc>
        <w:tc>
          <w:tcPr>
            <w:tcW w:w="2084" w:type="dxa"/>
            <w:tcBorders>
              <w:top w:val="none" w:sz="6" w:space="0" w:color="auto"/>
              <w:left w:val="none" w:sz="6" w:space="0" w:color="auto"/>
              <w:bottom w:val="none" w:sz="6" w:space="0" w:color="auto"/>
              <w:right w:val="none" w:sz="6" w:space="0" w:color="auto"/>
            </w:tcBorders>
          </w:tcPr>
          <w:p w14:paraId="066294E5" w14:textId="77777777" w:rsidR="00990F81" w:rsidRPr="003C5914" w:rsidRDefault="00990F81" w:rsidP="003C5914">
            <w:pPr>
              <w:pStyle w:val="Default"/>
              <w:rPr>
                <w:rFonts w:ascii="Times New Roman" w:hAnsi="Times New Roman" w:cs="Times New Roman"/>
              </w:rPr>
            </w:pPr>
            <w:r w:rsidRPr="003C5914">
              <w:rPr>
                <w:rFonts w:ascii="Times New Roman" w:hAnsi="Times New Roman" w:cs="Times New Roman"/>
              </w:rPr>
              <w:t xml:space="preserve">175-225 </w:t>
            </w:r>
          </w:p>
        </w:tc>
        <w:tc>
          <w:tcPr>
            <w:tcW w:w="2084" w:type="dxa"/>
            <w:tcBorders>
              <w:top w:val="none" w:sz="6" w:space="0" w:color="auto"/>
              <w:left w:val="none" w:sz="6" w:space="0" w:color="auto"/>
              <w:bottom w:val="none" w:sz="6" w:space="0" w:color="auto"/>
            </w:tcBorders>
          </w:tcPr>
          <w:p w14:paraId="0EF6C3F3" w14:textId="77777777" w:rsidR="00990F81" w:rsidRPr="003C5914" w:rsidRDefault="00990F81" w:rsidP="003C5914">
            <w:pPr>
              <w:pStyle w:val="Default"/>
              <w:rPr>
                <w:rFonts w:ascii="Times New Roman" w:hAnsi="Times New Roman" w:cs="Times New Roman"/>
              </w:rPr>
            </w:pPr>
            <w:r w:rsidRPr="003C5914">
              <w:rPr>
                <w:rFonts w:ascii="Times New Roman" w:hAnsi="Times New Roman" w:cs="Times New Roman"/>
              </w:rPr>
              <w:t>200-</w:t>
            </w:r>
          </w:p>
        </w:tc>
      </w:tr>
    </w:tbl>
    <w:p w14:paraId="44843720" w14:textId="77777777" w:rsidR="00990F81" w:rsidRPr="003C5914" w:rsidRDefault="00990F81" w:rsidP="003C5914">
      <w:pPr>
        <w:rPr>
          <w:rFonts w:ascii="Times New Roman" w:hAnsi="Times New Roman" w:cs="Times New Roman"/>
        </w:rPr>
      </w:pPr>
    </w:p>
    <w:p w14:paraId="3808DDA4" w14:textId="1B851967" w:rsidR="00864AA7" w:rsidRPr="003C5914" w:rsidRDefault="00864AA7" w:rsidP="003C5914">
      <w:pPr>
        <w:rPr>
          <w:rFonts w:ascii="Times New Roman" w:hAnsi="Times New Roman" w:cs="Times New Roman"/>
        </w:rPr>
      </w:pPr>
      <w:r w:rsidRPr="003C5914">
        <w:rPr>
          <w:rFonts w:ascii="Times New Roman" w:hAnsi="Times New Roman" w:cs="Times New Roman"/>
        </w:rPr>
        <w:t xml:space="preserve">We believe these desired SDI ranges are far too high for all </w:t>
      </w:r>
      <w:r w:rsidR="003C5914">
        <w:rPr>
          <w:rFonts w:ascii="Times New Roman" w:hAnsi="Times New Roman" w:cs="Times New Roman"/>
        </w:rPr>
        <w:t>three</w:t>
      </w:r>
      <w:r w:rsidRPr="003C5914">
        <w:rPr>
          <w:rFonts w:ascii="Times New Roman" w:hAnsi="Times New Roman" w:cs="Times New Roman"/>
        </w:rPr>
        <w:t xml:space="preserve"> forest types displayed</w:t>
      </w:r>
      <w:r w:rsidR="00E8381A" w:rsidRPr="003C5914">
        <w:rPr>
          <w:rFonts w:ascii="Times New Roman" w:hAnsi="Times New Roman" w:cs="Times New Roman"/>
        </w:rPr>
        <w:t xml:space="preserve">. </w:t>
      </w:r>
      <w:r w:rsidRPr="003C5914">
        <w:rPr>
          <w:rFonts w:ascii="Times New Roman" w:hAnsi="Times New Roman" w:cs="Times New Roman"/>
        </w:rPr>
        <w:t>They should be reduced</w:t>
      </w:r>
      <w:r w:rsidR="00E8381A" w:rsidRPr="003C5914">
        <w:rPr>
          <w:rFonts w:ascii="Times New Roman" w:hAnsi="Times New Roman" w:cs="Times New Roman"/>
        </w:rPr>
        <w:t xml:space="preserve"> significantly, whi</w:t>
      </w:r>
      <w:r w:rsidRPr="003C5914">
        <w:rPr>
          <w:rFonts w:ascii="Times New Roman" w:hAnsi="Times New Roman" w:cs="Times New Roman"/>
        </w:rPr>
        <w:t>ch would lower the target basal areas as well.</w:t>
      </w:r>
    </w:p>
    <w:p w14:paraId="5978D432" w14:textId="77777777" w:rsidR="00682289" w:rsidRPr="003C5914" w:rsidRDefault="00682289" w:rsidP="003C5914">
      <w:pPr>
        <w:rPr>
          <w:rFonts w:ascii="Times New Roman" w:hAnsi="Times New Roman" w:cs="Times New Roman"/>
        </w:rPr>
      </w:pPr>
    </w:p>
    <w:p w14:paraId="276E36BA" w14:textId="6C6D2018" w:rsidR="00682289" w:rsidRPr="003C5914" w:rsidRDefault="00682289" w:rsidP="003C5914">
      <w:pPr>
        <w:rPr>
          <w:rFonts w:ascii="Times New Roman" w:hAnsi="Times New Roman" w:cs="Times New Roman"/>
        </w:rPr>
      </w:pPr>
      <w:r w:rsidRPr="003C5914">
        <w:rPr>
          <w:rFonts w:ascii="Times New Roman" w:hAnsi="Times New Roman" w:cs="Times New Roman"/>
        </w:rPr>
        <w:t>AFRC and Calforests greatly appreciates the opportunity to comment on the Seral 2.0 draft environmental impact statement.</w:t>
      </w:r>
      <w:r w:rsidR="00012B94" w:rsidRPr="003C5914">
        <w:rPr>
          <w:rFonts w:ascii="Times New Roman" w:hAnsi="Times New Roman" w:cs="Times New Roman"/>
        </w:rPr>
        <w:t xml:space="preserve">  </w:t>
      </w:r>
    </w:p>
    <w:p w14:paraId="217C4C0D" w14:textId="77777777" w:rsidR="00682289" w:rsidRPr="003C5914" w:rsidRDefault="00682289" w:rsidP="003C5914">
      <w:pPr>
        <w:rPr>
          <w:rFonts w:ascii="Times New Roman" w:hAnsi="Times New Roman" w:cs="Times New Roman"/>
        </w:rPr>
      </w:pPr>
    </w:p>
    <w:p w14:paraId="248FEB2F" w14:textId="77777777" w:rsidR="00682289" w:rsidRPr="003C5914" w:rsidRDefault="00682289" w:rsidP="003C5914">
      <w:pPr>
        <w:rPr>
          <w:rFonts w:ascii="Times New Roman" w:hAnsi="Times New Roman" w:cs="Times New Roman"/>
        </w:rPr>
      </w:pPr>
      <w:r w:rsidRPr="003C5914">
        <w:rPr>
          <w:rFonts w:ascii="Times New Roman" w:hAnsi="Times New Roman" w:cs="Times New Roman"/>
        </w:rPr>
        <w:t>Sincerely,</w:t>
      </w:r>
    </w:p>
    <w:p w14:paraId="2DE8CEE4" w14:textId="77777777" w:rsidR="00682289" w:rsidRPr="003C5914" w:rsidRDefault="00682289" w:rsidP="003C5914">
      <w:pPr>
        <w:rPr>
          <w:rFonts w:ascii="Times New Roman" w:hAnsi="Times New Roman" w:cs="Times New Roman"/>
        </w:rPr>
      </w:pPr>
    </w:p>
    <w:p w14:paraId="53E3B27D" w14:textId="77777777" w:rsidR="00682289" w:rsidRPr="003C5914" w:rsidRDefault="00682289" w:rsidP="003C5914">
      <w:pPr>
        <w:rPr>
          <w:rFonts w:ascii="Times New Roman" w:hAnsi="Times New Roman" w:cs="Times New Roman"/>
        </w:rPr>
      </w:pPr>
      <w:r w:rsidRPr="003C5914">
        <w:rPr>
          <w:rFonts w:ascii="Times New Roman" w:eastAsia="Times New Roman" w:hAnsi="Times New Roman" w:cs="Times New Roman"/>
          <w:noProof/>
        </w:rPr>
        <w:drawing>
          <wp:inline distT="0" distB="0" distL="0" distR="0" wp14:anchorId="2EF62E37" wp14:editId="3557B3BF">
            <wp:extent cx="2057400" cy="457200"/>
            <wp:effectExtent l="0" t="0" r="0" b="0"/>
            <wp:docPr id="854999712" name="Picture 854999712"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57400" cy="457200"/>
                    </a:xfrm>
                    <a:prstGeom prst="rect">
                      <a:avLst/>
                    </a:prstGeom>
                    <a:noFill/>
                    <a:ln>
                      <a:noFill/>
                    </a:ln>
                  </pic:spPr>
                </pic:pic>
              </a:graphicData>
            </a:graphic>
          </wp:inline>
        </w:drawing>
      </w:r>
    </w:p>
    <w:p w14:paraId="61434338" w14:textId="77777777" w:rsidR="00682289" w:rsidRPr="003C5914" w:rsidRDefault="00682289" w:rsidP="003C5914">
      <w:pPr>
        <w:rPr>
          <w:rFonts w:ascii="Times New Roman" w:hAnsi="Times New Roman" w:cs="Times New Roman"/>
          <w:kern w:val="2"/>
          <w14:ligatures w14:val="standardContextual"/>
        </w:rPr>
      </w:pPr>
      <w:r w:rsidRPr="003C5914">
        <w:rPr>
          <w:rFonts w:ascii="Times New Roman" w:hAnsi="Times New Roman" w:cs="Times New Roman"/>
          <w:kern w:val="2"/>
          <w14:ligatures w14:val="standardContextual"/>
        </w:rPr>
        <w:t>STEVEN A. BRINK</w:t>
      </w:r>
    </w:p>
    <w:p w14:paraId="6C76A511" w14:textId="77777777" w:rsidR="00682289" w:rsidRPr="003C5914" w:rsidRDefault="00682289" w:rsidP="003C5914">
      <w:pPr>
        <w:rPr>
          <w:rFonts w:ascii="Times New Roman" w:hAnsi="Times New Roman" w:cs="Times New Roman"/>
          <w:kern w:val="2"/>
          <w14:ligatures w14:val="standardContextual"/>
        </w:rPr>
      </w:pPr>
      <w:r w:rsidRPr="003C5914">
        <w:rPr>
          <w:rFonts w:ascii="Times New Roman" w:hAnsi="Times New Roman" w:cs="Times New Roman"/>
          <w:kern w:val="2"/>
          <w14:ligatures w14:val="standardContextual"/>
        </w:rPr>
        <w:t>Calforests</w:t>
      </w:r>
    </w:p>
    <w:p w14:paraId="1EA76255" w14:textId="77777777" w:rsidR="00682289" w:rsidRPr="003C5914" w:rsidRDefault="00682289" w:rsidP="003C5914">
      <w:pPr>
        <w:rPr>
          <w:rFonts w:ascii="Times New Roman" w:hAnsi="Times New Roman" w:cs="Times New Roman"/>
          <w:kern w:val="2"/>
          <w14:ligatures w14:val="standardContextual"/>
        </w:rPr>
      </w:pPr>
      <w:r w:rsidRPr="003C5914">
        <w:rPr>
          <w:rFonts w:ascii="Times New Roman" w:hAnsi="Times New Roman" w:cs="Times New Roman"/>
          <w:kern w:val="2"/>
          <w14:ligatures w14:val="standardContextual"/>
        </w:rPr>
        <w:t>Vice President-Public Resources</w:t>
      </w:r>
    </w:p>
    <w:p w14:paraId="167412C0" w14:textId="77777777" w:rsidR="00682289" w:rsidRPr="003C5914" w:rsidRDefault="00682289" w:rsidP="003C5914">
      <w:pPr>
        <w:rPr>
          <w:rFonts w:ascii="Times New Roman" w:hAnsi="Times New Roman" w:cs="Times New Roman"/>
          <w:kern w:val="2"/>
          <w14:ligatures w14:val="standardContextual"/>
        </w:rPr>
      </w:pPr>
      <w:r w:rsidRPr="003C5914">
        <w:rPr>
          <w:rFonts w:ascii="Times New Roman" w:hAnsi="Times New Roman" w:cs="Times New Roman"/>
          <w:kern w:val="2"/>
          <w14:ligatures w14:val="standardContextual"/>
        </w:rPr>
        <w:t>And under an MOU between Calforests and AFRC</w:t>
      </w:r>
    </w:p>
    <w:p w14:paraId="42FC1A75" w14:textId="77777777" w:rsidR="00682289" w:rsidRPr="003C5914" w:rsidRDefault="00000000" w:rsidP="003C5914">
      <w:pPr>
        <w:rPr>
          <w:rFonts w:ascii="Times New Roman" w:hAnsi="Times New Roman" w:cs="Times New Roman"/>
        </w:rPr>
      </w:pPr>
      <w:hyperlink r:id="rId15" w:history="1">
        <w:r w:rsidR="00682289" w:rsidRPr="003C5914">
          <w:rPr>
            <w:rStyle w:val="Hyperlink"/>
            <w:rFonts w:ascii="Times New Roman" w:hAnsi="Times New Roman" w:cs="Times New Roman"/>
          </w:rPr>
          <w:t>steveb@calforests.org</w:t>
        </w:r>
      </w:hyperlink>
      <w:r w:rsidR="00682289" w:rsidRPr="003C5914">
        <w:rPr>
          <w:rFonts w:ascii="Times New Roman" w:hAnsi="Times New Roman" w:cs="Times New Roman"/>
        </w:rPr>
        <w:t xml:space="preserve"> </w:t>
      </w:r>
    </w:p>
    <w:p w14:paraId="7D486606" w14:textId="148AE279" w:rsidR="004E6167" w:rsidRPr="003C5914" w:rsidRDefault="00682289" w:rsidP="003C5914">
      <w:pPr>
        <w:rPr>
          <w:rFonts w:ascii="Times New Roman" w:hAnsi="Times New Roman" w:cs="Times New Roman"/>
        </w:rPr>
      </w:pPr>
      <w:r w:rsidRPr="003C5914">
        <w:rPr>
          <w:rFonts w:ascii="Times New Roman" w:hAnsi="Times New Roman" w:cs="Times New Roman"/>
        </w:rPr>
        <w:t>916-208-2425</w:t>
      </w:r>
      <w:r w:rsidR="004E6167" w:rsidRPr="003C5914">
        <w:rPr>
          <w:rFonts w:ascii="Times New Roman" w:hAnsi="Times New Roman" w:cs="Times New Roman"/>
        </w:rPr>
        <w:br w:type="page"/>
      </w:r>
    </w:p>
    <w:p w14:paraId="6AF09FA8" w14:textId="08FDEA48" w:rsidR="004E6167" w:rsidRPr="003C5914" w:rsidRDefault="004E6167" w:rsidP="003C5914">
      <w:pPr>
        <w:rPr>
          <w:rFonts w:ascii="Times New Roman" w:hAnsi="Times New Roman" w:cs="Times New Roman"/>
          <w:b/>
          <w:bCs/>
        </w:rPr>
      </w:pPr>
      <w:r w:rsidRPr="003C5914">
        <w:rPr>
          <w:rFonts w:ascii="Times New Roman" w:hAnsi="Times New Roman" w:cs="Times New Roman"/>
          <w:b/>
          <w:bCs/>
        </w:rPr>
        <w:lastRenderedPageBreak/>
        <w:t xml:space="preserve">Enclosure #1 – </w:t>
      </w:r>
    </w:p>
    <w:p w14:paraId="2A7A7B1D" w14:textId="77777777" w:rsidR="004E6167" w:rsidRPr="003C5914" w:rsidRDefault="004E6167" w:rsidP="003C5914">
      <w:pPr>
        <w:rPr>
          <w:rFonts w:ascii="Times New Roman" w:hAnsi="Times New Roman" w:cs="Times New Roman"/>
          <w:b/>
          <w:bCs/>
        </w:rPr>
      </w:pPr>
    </w:p>
    <w:p w14:paraId="7815599C" w14:textId="77777777" w:rsidR="004E6167" w:rsidRPr="003C5914" w:rsidRDefault="004E6167" w:rsidP="003C5914">
      <w:pPr>
        <w:shd w:val="clear" w:color="auto" w:fill="FFFFFF"/>
        <w:outlineLvl w:val="1"/>
        <w:rPr>
          <w:rFonts w:ascii="Times New Roman" w:eastAsia="Times New Roman" w:hAnsi="Times New Roman" w:cs="Times New Roman"/>
          <w:b/>
          <w:bCs/>
          <w:color w:val="1C1D1E"/>
        </w:rPr>
      </w:pPr>
      <w:r w:rsidRPr="003C5914">
        <w:rPr>
          <w:rFonts w:ascii="Times New Roman" w:eastAsia="Times New Roman" w:hAnsi="Times New Roman" w:cs="Times New Roman"/>
          <w:b/>
          <w:bCs/>
          <w:color w:val="1C1D1E"/>
        </w:rPr>
        <w:t>Elevated methane concentrations in trees of an upland forest</w:t>
      </w:r>
    </w:p>
    <w:p w14:paraId="661B9ECB" w14:textId="77777777" w:rsidR="004E6167" w:rsidRPr="003C5914" w:rsidRDefault="00000000" w:rsidP="003C5914">
      <w:pPr>
        <w:shd w:val="clear" w:color="auto" w:fill="FFFFFF"/>
        <w:rPr>
          <w:rFonts w:ascii="Times New Roman" w:eastAsia="Times New Roman" w:hAnsi="Times New Roman" w:cs="Times New Roman"/>
          <w:color w:val="8B8B8B"/>
        </w:rPr>
      </w:pPr>
      <w:hyperlink r:id="rId16" w:history="1">
        <w:r w:rsidR="004E6167" w:rsidRPr="003C5914">
          <w:rPr>
            <w:rFonts w:ascii="Times New Roman" w:eastAsia="Times New Roman" w:hAnsi="Times New Roman" w:cs="Times New Roman"/>
            <w:color w:val="005274"/>
            <w:u w:val="single"/>
          </w:rPr>
          <w:t>Kristofer R. Covey</w:t>
        </w:r>
      </w:hyperlink>
      <w:r w:rsidR="004E6167" w:rsidRPr="003C5914">
        <w:rPr>
          <w:rFonts w:ascii="Times New Roman" w:eastAsia="Times New Roman" w:hAnsi="Times New Roman" w:cs="Times New Roman"/>
          <w:color w:val="8B8B8B"/>
        </w:rPr>
        <w:t> </w:t>
      </w:r>
    </w:p>
    <w:p w14:paraId="4CA7CBF4" w14:textId="77777777" w:rsidR="004E6167" w:rsidRPr="003C5914" w:rsidRDefault="004E6167" w:rsidP="003C5914">
      <w:pPr>
        <w:shd w:val="clear" w:color="auto" w:fill="FFFFFF"/>
        <w:rPr>
          <w:rFonts w:ascii="Times New Roman" w:eastAsia="Times New Roman" w:hAnsi="Times New Roman" w:cs="Times New Roman"/>
          <w:color w:val="8B8B8B"/>
        </w:rPr>
      </w:pPr>
      <w:r w:rsidRPr="003C5914">
        <w:rPr>
          <w:rFonts w:ascii="Times New Roman" w:eastAsia="Times New Roman" w:hAnsi="Times New Roman" w:cs="Times New Roman"/>
          <w:color w:val="8B8B8B"/>
        </w:rPr>
        <w:t> </w:t>
      </w:r>
    </w:p>
    <w:p w14:paraId="5C48334B" w14:textId="77777777" w:rsidR="004E6167" w:rsidRPr="003C5914" w:rsidRDefault="00000000" w:rsidP="003C5914">
      <w:pPr>
        <w:shd w:val="clear" w:color="auto" w:fill="FFFFFF"/>
        <w:rPr>
          <w:rFonts w:ascii="Times New Roman" w:eastAsia="Times New Roman" w:hAnsi="Times New Roman" w:cs="Times New Roman"/>
          <w:color w:val="8B8B8B"/>
        </w:rPr>
      </w:pPr>
      <w:hyperlink r:id="rId17" w:history="1">
        <w:r w:rsidR="004E6167" w:rsidRPr="003C5914">
          <w:rPr>
            <w:rFonts w:ascii="Times New Roman" w:eastAsia="Times New Roman" w:hAnsi="Times New Roman" w:cs="Times New Roman"/>
            <w:color w:val="005274"/>
            <w:u w:val="single"/>
          </w:rPr>
          <w:t>Stephen A. Wood</w:t>
        </w:r>
      </w:hyperlink>
      <w:r w:rsidR="004E6167" w:rsidRPr="003C5914">
        <w:rPr>
          <w:rFonts w:ascii="Times New Roman" w:eastAsia="Times New Roman" w:hAnsi="Times New Roman" w:cs="Times New Roman"/>
          <w:color w:val="8B8B8B"/>
        </w:rPr>
        <w:t> </w:t>
      </w:r>
    </w:p>
    <w:p w14:paraId="58E4B46A" w14:textId="77777777" w:rsidR="004E6167" w:rsidRPr="003C5914" w:rsidRDefault="004E6167" w:rsidP="003C5914">
      <w:pPr>
        <w:shd w:val="clear" w:color="auto" w:fill="FFFFFF"/>
        <w:rPr>
          <w:rFonts w:ascii="Times New Roman" w:eastAsia="Times New Roman" w:hAnsi="Times New Roman" w:cs="Times New Roman"/>
          <w:color w:val="8B8B8B"/>
        </w:rPr>
      </w:pPr>
      <w:r w:rsidRPr="003C5914">
        <w:rPr>
          <w:rFonts w:ascii="Times New Roman" w:eastAsia="Times New Roman" w:hAnsi="Times New Roman" w:cs="Times New Roman"/>
          <w:color w:val="8B8B8B"/>
        </w:rPr>
        <w:t> </w:t>
      </w:r>
    </w:p>
    <w:p w14:paraId="58EA1D20" w14:textId="77777777" w:rsidR="004E6167" w:rsidRPr="003C5914" w:rsidRDefault="00000000" w:rsidP="003C5914">
      <w:pPr>
        <w:shd w:val="clear" w:color="auto" w:fill="FFFFFF"/>
        <w:rPr>
          <w:rFonts w:ascii="Times New Roman" w:eastAsia="Times New Roman" w:hAnsi="Times New Roman" w:cs="Times New Roman"/>
          <w:color w:val="8B8B8B"/>
        </w:rPr>
      </w:pPr>
      <w:hyperlink r:id="rId18" w:history="1">
        <w:r w:rsidR="004E6167" w:rsidRPr="003C5914">
          <w:rPr>
            <w:rFonts w:ascii="Times New Roman" w:eastAsia="Times New Roman" w:hAnsi="Times New Roman" w:cs="Times New Roman"/>
            <w:color w:val="005274"/>
            <w:u w:val="single"/>
          </w:rPr>
          <w:t>Robert J. Warren II</w:t>
        </w:r>
      </w:hyperlink>
      <w:r w:rsidR="004E6167" w:rsidRPr="003C5914">
        <w:rPr>
          <w:rFonts w:ascii="Times New Roman" w:eastAsia="Times New Roman" w:hAnsi="Times New Roman" w:cs="Times New Roman"/>
          <w:color w:val="8B8B8B"/>
        </w:rPr>
        <w:t> </w:t>
      </w:r>
    </w:p>
    <w:p w14:paraId="286C2D91" w14:textId="77777777" w:rsidR="004E6167" w:rsidRPr="003C5914" w:rsidRDefault="004E6167" w:rsidP="003C5914">
      <w:pPr>
        <w:shd w:val="clear" w:color="auto" w:fill="FFFFFF"/>
        <w:rPr>
          <w:rFonts w:ascii="Times New Roman" w:eastAsia="Times New Roman" w:hAnsi="Times New Roman" w:cs="Times New Roman"/>
          <w:color w:val="8B8B8B"/>
        </w:rPr>
      </w:pPr>
      <w:r w:rsidRPr="003C5914">
        <w:rPr>
          <w:rFonts w:ascii="Times New Roman" w:eastAsia="Times New Roman" w:hAnsi="Times New Roman" w:cs="Times New Roman"/>
          <w:color w:val="8B8B8B"/>
        </w:rPr>
        <w:t> </w:t>
      </w:r>
    </w:p>
    <w:p w14:paraId="591CDE74" w14:textId="77777777" w:rsidR="004E6167" w:rsidRPr="003C5914" w:rsidRDefault="00000000" w:rsidP="003C5914">
      <w:pPr>
        <w:shd w:val="clear" w:color="auto" w:fill="FFFFFF"/>
        <w:rPr>
          <w:rFonts w:ascii="Times New Roman" w:eastAsia="Times New Roman" w:hAnsi="Times New Roman" w:cs="Times New Roman"/>
          <w:color w:val="8B8B8B"/>
        </w:rPr>
      </w:pPr>
      <w:hyperlink r:id="rId19" w:history="1">
        <w:r w:rsidR="004E6167" w:rsidRPr="003C5914">
          <w:rPr>
            <w:rFonts w:ascii="Times New Roman" w:eastAsia="Times New Roman" w:hAnsi="Times New Roman" w:cs="Times New Roman"/>
            <w:color w:val="005274"/>
            <w:u w:val="single"/>
          </w:rPr>
          <w:t>Xuhui Lee</w:t>
        </w:r>
      </w:hyperlink>
      <w:r w:rsidR="004E6167" w:rsidRPr="003C5914">
        <w:rPr>
          <w:rFonts w:ascii="Times New Roman" w:eastAsia="Times New Roman" w:hAnsi="Times New Roman" w:cs="Times New Roman"/>
          <w:color w:val="8B8B8B"/>
        </w:rPr>
        <w:t> </w:t>
      </w:r>
    </w:p>
    <w:p w14:paraId="438EEC9F" w14:textId="77777777" w:rsidR="004E6167" w:rsidRPr="003C5914" w:rsidRDefault="004E6167" w:rsidP="003C5914">
      <w:pPr>
        <w:shd w:val="clear" w:color="auto" w:fill="FFFFFF"/>
        <w:rPr>
          <w:rFonts w:ascii="Times New Roman" w:eastAsia="Times New Roman" w:hAnsi="Times New Roman" w:cs="Times New Roman"/>
          <w:color w:val="8B8B8B"/>
        </w:rPr>
      </w:pPr>
      <w:r w:rsidRPr="003C5914">
        <w:rPr>
          <w:rFonts w:ascii="Times New Roman" w:eastAsia="Times New Roman" w:hAnsi="Times New Roman" w:cs="Times New Roman"/>
          <w:color w:val="8B8B8B"/>
        </w:rPr>
        <w:t> </w:t>
      </w:r>
    </w:p>
    <w:p w14:paraId="5D18597D" w14:textId="77777777" w:rsidR="004E6167" w:rsidRPr="003C5914" w:rsidRDefault="00000000" w:rsidP="003C5914">
      <w:pPr>
        <w:shd w:val="clear" w:color="auto" w:fill="FFFFFF"/>
        <w:rPr>
          <w:rFonts w:ascii="Times New Roman" w:eastAsia="Times New Roman" w:hAnsi="Times New Roman" w:cs="Times New Roman"/>
          <w:color w:val="8B8B8B"/>
        </w:rPr>
      </w:pPr>
      <w:hyperlink r:id="rId20" w:history="1">
        <w:r w:rsidR="004E6167" w:rsidRPr="003C5914">
          <w:rPr>
            <w:rFonts w:ascii="Times New Roman" w:eastAsia="Times New Roman" w:hAnsi="Times New Roman" w:cs="Times New Roman"/>
            <w:color w:val="005274"/>
            <w:u w:val="single"/>
          </w:rPr>
          <w:t>Mark A. Bradford</w:t>
        </w:r>
      </w:hyperlink>
    </w:p>
    <w:p w14:paraId="0A2E066D" w14:textId="77777777" w:rsidR="004E6167" w:rsidRPr="003C5914" w:rsidRDefault="004E6167" w:rsidP="003C5914">
      <w:pPr>
        <w:shd w:val="clear" w:color="auto" w:fill="FFFFFF"/>
        <w:rPr>
          <w:rFonts w:ascii="Times New Roman" w:eastAsia="Times New Roman" w:hAnsi="Times New Roman" w:cs="Times New Roman"/>
          <w:color w:val="767676"/>
        </w:rPr>
      </w:pPr>
      <w:r w:rsidRPr="003C5914">
        <w:rPr>
          <w:rFonts w:ascii="Times New Roman" w:eastAsia="Times New Roman" w:hAnsi="Times New Roman" w:cs="Times New Roman"/>
          <w:color w:val="8B8B8B"/>
        </w:rPr>
        <w:t>First published: </w:t>
      </w:r>
      <w:r w:rsidRPr="003C5914">
        <w:rPr>
          <w:rFonts w:ascii="Times New Roman" w:eastAsia="Times New Roman" w:hAnsi="Times New Roman" w:cs="Times New Roman"/>
          <w:color w:val="1C1D1E"/>
        </w:rPr>
        <w:t>09 August 2012</w:t>
      </w:r>
    </w:p>
    <w:p w14:paraId="22B93A4C" w14:textId="77777777" w:rsidR="004E6167" w:rsidRPr="003C5914" w:rsidRDefault="004E6167" w:rsidP="003C5914">
      <w:pPr>
        <w:shd w:val="clear" w:color="auto" w:fill="FFFFFF"/>
        <w:rPr>
          <w:rFonts w:ascii="Times New Roman" w:eastAsia="Times New Roman" w:hAnsi="Times New Roman" w:cs="Times New Roman"/>
          <w:color w:val="767676"/>
        </w:rPr>
      </w:pPr>
      <w:r w:rsidRPr="003C5914">
        <w:rPr>
          <w:rFonts w:ascii="Times New Roman" w:eastAsia="Times New Roman" w:hAnsi="Times New Roman" w:cs="Times New Roman"/>
          <w:color w:val="767676"/>
        </w:rPr>
        <w:t> </w:t>
      </w:r>
    </w:p>
    <w:p w14:paraId="36FE4004" w14:textId="77777777" w:rsidR="004E6167" w:rsidRPr="003C5914" w:rsidRDefault="00000000" w:rsidP="003C5914">
      <w:pPr>
        <w:shd w:val="clear" w:color="auto" w:fill="FFFFFF"/>
        <w:rPr>
          <w:rFonts w:ascii="Times New Roman" w:eastAsia="Times New Roman" w:hAnsi="Times New Roman" w:cs="Times New Roman"/>
          <w:color w:val="767676"/>
        </w:rPr>
      </w:pPr>
      <w:hyperlink r:id="rId21" w:history="1">
        <w:r w:rsidR="004E6167" w:rsidRPr="003C5914">
          <w:rPr>
            <w:rFonts w:ascii="Times New Roman" w:eastAsia="Times New Roman" w:hAnsi="Times New Roman" w:cs="Times New Roman"/>
            <w:b/>
            <w:bCs/>
            <w:color w:val="005274"/>
            <w:u w:val="single"/>
          </w:rPr>
          <w:t>https://doi.org/10.1029/2012GL052361</w:t>
        </w:r>
      </w:hyperlink>
    </w:p>
    <w:p w14:paraId="52EA9B17" w14:textId="77777777" w:rsidR="004E6167" w:rsidRPr="003C5914" w:rsidRDefault="004E6167" w:rsidP="003C5914">
      <w:pPr>
        <w:shd w:val="clear" w:color="auto" w:fill="FFFFFF"/>
        <w:rPr>
          <w:rFonts w:ascii="Times New Roman" w:eastAsia="Times New Roman" w:hAnsi="Times New Roman" w:cs="Times New Roman"/>
          <w:color w:val="767676"/>
        </w:rPr>
      </w:pPr>
      <w:r w:rsidRPr="003C5914">
        <w:rPr>
          <w:rFonts w:ascii="Times New Roman" w:eastAsia="Times New Roman" w:hAnsi="Times New Roman" w:cs="Times New Roman"/>
          <w:color w:val="767676"/>
        </w:rPr>
        <w:t> </w:t>
      </w:r>
    </w:p>
    <w:p w14:paraId="0D4C9FB2" w14:textId="77777777" w:rsidR="004E6167" w:rsidRPr="003C5914" w:rsidRDefault="004E6167" w:rsidP="003C5914">
      <w:pPr>
        <w:shd w:val="clear" w:color="auto" w:fill="FFFFFF"/>
        <w:outlineLvl w:val="1"/>
        <w:rPr>
          <w:rFonts w:ascii="Times New Roman" w:eastAsia="Times New Roman" w:hAnsi="Times New Roman" w:cs="Times New Roman"/>
          <w:color w:val="414141"/>
        </w:rPr>
      </w:pPr>
      <w:r w:rsidRPr="003C5914">
        <w:rPr>
          <w:rFonts w:ascii="Times New Roman" w:eastAsia="Times New Roman" w:hAnsi="Times New Roman" w:cs="Times New Roman"/>
          <w:color w:val="414141"/>
        </w:rPr>
        <w:t>Abstract</w:t>
      </w:r>
    </w:p>
    <w:p w14:paraId="4F971713" w14:textId="77777777" w:rsidR="004E6167" w:rsidRPr="003C5914" w:rsidRDefault="004E6167" w:rsidP="003C5914">
      <w:pPr>
        <w:shd w:val="clear" w:color="auto" w:fill="FFFFFF"/>
        <w:rPr>
          <w:rFonts w:ascii="Times New Roman" w:eastAsia="Times New Roman" w:hAnsi="Times New Roman" w:cs="Times New Roman"/>
          <w:color w:val="1C1D1E"/>
        </w:rPr>
      </w:pPr>
      <w:r w:rsidRPr="003C5914">
        <w:rPr>
          <w:rFonts w:ascii="Times New Roman" w:eastAsia="Times New Roman" w:hAnsi="Times New Roman" w:cs="Times New Roman"/>
          <w:color w:val="1C1D1E"/>
        </w:rPr>
        <w:t>[1] There is intense debate about whether terrestrial vegetation contributes substantially to global methane emissions. Although trees may act as a conduit for methane release from soils to atmosphere, the debate centers on whether vegetation directly produces methane by an uncharacterized, abiotic mechanism. A second mechanism of direct methane production in plants occurs when methanogens – microorganisms in the domain Archaea – colonize the wood of living trees. In the debate this biotic mechanism has largely been ignored, yet conditions that promote anaerobic activity in living wood, and hence potentially methane production, are prevalent across forests. We find average, growing season, trunk‐gas methane concentrations &gt;15,000</w:t>
      </w:r>
      <w:r w:rsidRPr="003C5914">
        <w:rPr>
          <w:rFonts w:ascii="Times New Roman" w:eastAsia="Times New Roman" w:hAnsi="Times New Roman" w:cs="Times New Roman"/>
          <w:i/>
          <w:iCs/>
          <w:color w:val="1C1D1E"/>
        </w:rPr>
        <w:t>μ</w:t>
      </w:r>
      <w:r w:rsidRPr="003C5914">
        <w:rPr>
          <w:rFonts w:ascii="Times New Roman" w:eastAsia="Times New Roman" w:hAnsi="Times New Roman" w:cs="Times New Roman"/>
          <w:color w:val="1C1D1E"/>
        </w:rPr>
        <w:t>L·L</w:t>
      </w:r>
      <w:r w:rsidRPr="003C5914">
        <w:rPr>
          <w:rFonts w:ascii="Times New Roman" w:eastAsia="Times New Roman" w:hAnsi="Times New Roman" w:cs="Times New Roman"/>
          <w:color w:val="1C1D1E"/>
          <w:vertAlign w:val="superscript"/>
        </w:rPr>
        <w:t>−1</w:t>
      </w:r>
      <w:r w:rsidRPr="003C5914">
        <w:rPr>
          <w:rFonts w:ascii="Times New Roman" w:eastAsia="Times New Roman" w:hAnsi="Times New Roman" w:cs="Times New Roman"/>
          <w:color w:val="1C1D1E"/>
        </w:rPr>
        <w:t>in common, temperate‐forest species. In upland habitat (where soils are not a significant methane source), concentrations are 2.3‐times greater than in lowland areas, and wood cores produce methane in anaerobic, lab‐assays. Emission rate estimates from our upland site are 52 ± 9.5 ng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m</w:t>
      </w:r>
      <w:r w:rsidRPr="003C5914">
        <w:rPr>
          <w:rFonts w:ascii="Times New Roman" w:eastAsia="Times New Roman" w:hAnsi="Times New Roman" w:cs="Times New Roman"/>
          <w:color w:val="1C1D1E"/>
          <w:vertAlign w:val="superscript"/>
        </w:rPr>
        <w:t>−2</w:t>
      </w:r>
      <w:r w:rsidRPr="003C5914">
        <w:rPr>
          <w:rFonts w:ascii="Times New Roman" w:eastAsia="Times New Roman" w:hAnsi="Times New Roman" w:cs="Times New Roman"/>
          <w:color w:val="1C1D1E"/>
        </w:rPr>
        <w:t> s</w:t>
      </w:r>
      <w:r w:rsidRPr="003C5914">
        <w:rPr>
          <w:rFonts w:ascii="Times New Roman" w:eastAsia="Times New Roman" w:hAnsi="Times New Roman" w:cs="Times New Roman"/>
          <w:color w:val="1C1D1E"/>
          <w:vertAlign w:val="superscript"/>
        </w:rPr>
        <w:t>−1</w:t>
      </w:r>
      <w:r w:rsidRPr="003C5914">
        <w:rPr>
          <w:rFonts w:ascii="Times New Roman" w:eastAsia="Times New Roman" w:hAnsi="Times New Roman" w:cs="Times New Roman"/>
          <w:color w:val="1C1D1E"/>
        </w:rPr>
        <w:t xml:space="preserve">; rates that are of a similar magnitude to the soil methane sink in temperate forest, and equivalent in global warming potential to </w:t>
      </w:r>
      <w:r w:rsidRPr="003C5914">
        <w:rPr>
          <w:rFonts w:ascii="Cambria Math" w:eastAsia="Times New Roman" w:hAnsi="Cambria Math" w:cs="Cambria Math"/>
          <w:color w:val="1C1D1E"/>
        </w:rPr>
        <w:t>∼</w:t>
      </w:r>
      <w:r w:rsidRPr="003C5914">
        <w:rPr>
          <w:rFonts w:ascii="Times New Roman" w:eastAsia="Times New Roman" w:hAnsi="Times New Roman" w:cs="Times New Roman"/>
          <w:color w:val="1C1D1E"/>
        </w:rPr>
        <w:t>18% of the carbon likely sequestered by this forest. Microbial infection of one of the largest, biogenic sinks for carbon dioxide, living trees, might result in substantial, biogenic production of methane.</w:t>
      </w:r>
    </w:p>
    <w:p w14:paraId="725D2292" w14:textId="77777777" w:rsidR="004E6167" w:rsidRPr="003C5914" w:rsidRDefault="004E6167" w:rsidP="003C5914">
      <w:pPr>
        <w:shd w:val="clear" w:color="auto" w:fill="FFFFFF"/>
        <w:outlineLvl w:val="1"/>
        <w:rPr>
          <w:rFonts w:ascii="Times New Roman" w:eastAsia="Times New Roman" w:hAnsi="Times New Roman" w:cs="Times New Roman"/>
          <w:b/>
          <w:bCs/>
          <w:color w:val="00A185"/>
        </w:rPr>
      </w:pPr>
      <w:r w:rsidRPr="003C5914">
        <w:rPr>
          <w:rFonts w:ascii="Times New Roman" w:eastAsia="Times New Roman" w:hAnsi="Times New Roman" w:cs="Times New Roman"/>
          <w:b/>
          <w:bCs/>
          <w:color w:val="00A185"/>
        </w:rPr>
        <w:t>1. Introduction</w:t>
      </w:r>
    </w:p>
    <w:p w14:paraId="7A041FBD" w14:textId="77777777" w:rsidR="004E6167" w:rsidRPr="003C5914" w:rsidRDefault="004E6167" w:rsidP="003C5914">
      <w:pPr>
        <w:shd w:val="clear" w:color="auto" w:fill="FFFFFF"/>
        <w:rPr>
          <w:rFonts w:ascii="Times New Roman" w:eastAsia="Times New Roman" w:hAnsi="Times New Roman" w:cs="Times New Roman"/>
          <w:color w:val="1C1D1E"/>
        </w:rPr>
      </w:pPr>
      <w:r w:rsidRPr="003C5914">
        <w:rPr>
          <w:rFonts w:ascii="Times New Roman" w:eastAsia="Times New Roman" w:hAnsi="Times New Roman" w:cs="Times New Roman"/>
          <w:color w:val="1C1D1E"/>
        </w:rPr>
        <w:t>[2] Containing more than 75% of terrestrial carbon, forests are globally‐important sinks and stores for carbon [</w:t>
      </w:r>
      <w:hyperlink r:id="rId22" w:anchor="grl29360-bib-0023" w:history="1">
        <w:r w:rsidRPr="003C5914">
          <w:rPr>
            <w:rFonts w:ascii="Times New Roman" w:eastAsia="Times New Roman" w:hAnsi="Times New Roman" w:cs="Times New Roman"/>
            <w:b/>
            <w:bCs/>
            <w:i/>
            <w:iCs/>
            <w:color w:val="005293"/>
            <w:u w:val="single"/>
          </w:rPr>
          <w:t>Houghton</w:t>
        </w:r>
        <w:r w:rsidRPr="003C5914">
          <w:rPr>
            <w:rFonts w:ascii="Times New Roman" w:eastAsia="Times New Roman" w:hAnsi="Times New Roman" w:cs="Times New Roman"/>
            <w:b/>
            <w:bCs/>
            <w:color w:val="005293"/>
            <w:u w:val="single"/>
          </w:rPr>
          <w:t>, 2007</w:t>
        </w:r>
      </w:hyperlink>
      <w:r w:rsidRPr="003C5914">
        <w:rPr>
          <w:rFonts w:ascii="Times New Roman" w:eastAsia="Times New Roman" w:hAnsi="Times New Roman" w:cs="Times New Roman"/>
          <w:color w:val="1C1D1E"/>
        </w:rPr>
        <w:t>]. Because in upland soils the activities of methane‐consuming bacteria (i.e. methanotrophs) generally dominate those of methane‐producing archaea (methanogens), forests are also considered sinks for atmospheric methane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w:t>
      </w:r>
      <w:hyperlink r:id="rId23" w:anchor="grl29360-bib-0014" w:history="1">
        <w:r w:rsidRPr="003C5914">
          <w:rPr>
            <w:rFonts w:ascii="Times New Roman" w:eastAsia="Times New Roman" w:hAnsi="Times New Roman" w:cs="Times New Roman"/>
            <w:b/>
            <w:bCs/>
            <w:i/>
            <w:iCs/>
            <w:color w:val="005293"/>
            <w:u w:val="single"/>
          </w:rPr>
          <w:t>Conrad</w:t>
        </w:r>
        <w:r w:rsidRPr="003C5914">
          <w:rPr>
            <w:rFonts w:ascii="Times New Roman" w:eastAsia="Times New Roman" w:hAnsi="Times New Roman" w:cs="Times New Roman"/>
            <w:b/>
            <w:bCs/>
            <w:color w:val="005293"/>
            <w:u w:val="single"/>
          </w:rPr>
          <w:t>, 2009</w:t>
        </w:r>
      </w:hyperlink>
      <w:r w:rsidRPr="003C5914">
        <w:rPr>
          <w:rFonts w:ascii="Times New Roman" w:eastAsia="Times New Roman" w:hAnsi="Times New Roman" w:cs="Times New Roman"/>
          <w:color w:val="1C1D1E"/>
        </w:rPr>
        <w:t>]. However, recent work indicates that forests may be producing and emitting huge quantities of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Using remotely‐sensed data</w:t>
      </w:r>
      <w:hyperlink r:id="rId24" w:anchor="grl29360-bib-0018" w:history="1">
        <w:r w:rsidRPr="003C5914">
          <w:rPr>
            <w:rFonts w:ascii="Times New Roman" w:eastAsia="Times New Roman" w:hAnsi="Times New Roman" w:cs="Times New Roman"/>
            <w:b/>
            <w:bCs/>
            <w:i/>
            <w:iCs/>
            <w:color w:val="005293"/>
            <w:u w:val="single"/>
          </w:rPr>
          <w:t>Frankenberg et al.</w:t>
        </w:r>
        <w:r w:rsidRPr="003C5914">
          <w:rPr>
            <w:rFonts w:ascii="Times New Roman" w:eastAsia="Times New Roman" w:hAnsi="Times New Roman" w:cs="Times New Roman"/>
            <w:b/>
            <w:bCs/>
            <w:color w:val="005293"/>
            <w:u w:val="single"/>
          </w:rPr>
          <w:t> [2005]</w:t>
        </w:r>
      </w:hyperlink>
      <w:r w:rsidRPr="003C5914">
        <w:rPr>
          <w:rFonts w:ascii="Times New Roman" w:eastAsia="Times New Roman" w:hAnsi="Times New Roman" w:cs="Times New Roman"/>
          <w:color w:val="1C1D1E"/>
        </w:rPr>
        <w:t> showed unexpectedly high concentrations of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over the tropics. On‐the‐ground measurements of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flux suggested the emissions might come from a novel, aerobic mechanism through which live vegetation and litter in forests act as a methane source [</w:t>
      </w:r>
      <w:hyperlink r:id="rId25" w:anchor="grl29360-bib-0029" w:history="1">
        <w:r w:rsidRPr="003C5914">
          <w:rPr>
            <w:rFonts w:ascii="Times New Roman" w:eastAsia="Times New Roman" w:hAnsi="Times New Roman" w:cs="Times New Roman"/>
            <w:b/>
            <w:bCs/>
            <w:i/>
            <w:iCs/>
            <w:color w:val="005293"/>
            <w:u w:val="single"/>
          </w:rPr>
          <w:t>Keppler et al.</w:t>
        </w:r>
        <w:r w:rsidRPr="003C5914">
          <w:rPr>
            <w:rFonts w:ascii="Times New Roman" w:eastAsia="Times New Roman" w:hAnsi="Times New Roman" w:cs="Times New Roman"/>
            <w:b/>
            <w:bCs/>
            <w:color w:val="005293"/>
            <w:u w:val="single"/>
          </w:rPr>
          <w:t>, 2006</w:t>
        </w:r>
      </w:hyperlink>
      <w:r w:rsidRPr="003C5914">
        <w:rPr>
          <w:rFonts w:ascii="Times New Roman" w:eastAsia="Times New Roman" w:hAnsi="Times New Roman" w:cs="Times New Roman"/>
          <w:color w:val="1C1D1E"/>
        </w:rPr>
        <w:t>]. More than 30 studies have attempted to explain, measure, and verify observations of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production via this pathway and two recent reviews conclude that the phenomenon does occur [</w:t>
      </w:r>
      <w:hyperlink r:id="rId26" w:anchor="grl29360-bib-0011" w:history="1">
        <w:r w:rsidRPr="003C5914">
          <w:rPr>
            <w:rFonts w:ascii="Times New Roman" w:eastAsia="Times New Roman" w:hAnsi="Times New Roman" w:cs="Times New Roman"/>
            <w:b/>
            <w:bCs/>
            <w:i/>
            <w:iCs/>
            <w:color w:val="005293"/>
            <w:u w:val="single"/>
          </w:rPr>
          <w:t>Bruhn et al.</w:t>
        </w:r>
        <w:r w:rsidRPr="003C5914">
          <w:rPr>
            <w:rFonts w:ascii="Times New Roman" w:eastAsia="Times New Roman" w:hAnsi="Times New Roman" w:cs="Times New Roman"/>
            <w:b/>
            <w:bCs/>
            <w:color w:val="005293"/>
            <w:u w:val="single"/>
          </w:rPr>
          <w:t>, 2012</w:t>
        </w:r>
      </w:hyperlink>
      <w:r w:rsidRPr="003C5914">
        <w:rPr>
          <w:rFonts w:ascii="Times New Roman" w:eastAsia="Times New Roman" w:hAnsi="Times New Roman" w:cs="Times New Roman"/>
          <w:color w:val="1C1D1E"/>
        </w:rPr>
        <w:t>; </w:t>
      </w:r>
      <w:hyperlink r:id="rId27" w:anchor="grl29360-bib-0030" w:history="1">
        <w:r w:rsidRPr="003C5914">
          <w:rPr>
            <w:rFonts w:ascii="Times New Roman" w:eastAsia="Times New Roman" w:hAnsi="Times New Roman" w:cs="Times New Roman"/>
            <w:b/>
            <w:bCs/>
            <w:i/>
            <w:iCs/>
            <w:color w:val="005293"/>
            <w:u w:val="single"/>
          </w:rPr>
          <w:t>Keppler et al.</w:t>
        </w:r>
        <w:r w:rsidRPr="003C5914">
          <w:rPr>
            <w:rFonts w:ascii="Times New Roman" w:eastAsia="Times New Roman" w:hAnsi="Times New Roman" w:cs="Times New Roman"/>
            <w:b/>
            <w:bCs/>
            <w:color w:val="005293"/>
            <w:u w:val="single"/>
          </w:rPr>
          <w:t>, 2009</w:t>
        </w:r>
      </w:hyperlink>
      <w:r w:rsidRPr="003C5914">
        <w:rPr>
          <w:rFonts w:ascii="Times New Roman" w:eastAsia="Times New Roman" w:hAnsi="Times New Roman" w:cs="Times New Roman"/>
          <w:color w:val="1C1D1E"/>
        </w:rPr>
        <w:t>]. Yet there is still no definitive confirmation or rejection that forests on well‐drained soils are a significant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source [</w:t>
      </w:r>
      <w:r w:rsidRPr="003C5914">
        <w:rPr>
          <w:rFonts w:ascii="Times New Roman" w:eastAsia="Times New Roman" w:hAnsi="Times New Roman" w:cs="Times New Roman"/>
          <w:i/>
          <w:iCs/>
          <w:color w:val="1C1D1E"/>
        </w:rPr>
        <w:t>Anderson</w:t>
      </w:r>
      <w:r w:rsidRPr="003C5914">
        <w:rPr>
          <w:rFonts w:ascii="Times New Roman" w:eastAsia="Times New Roman" w:hAnsi="Times New Roman" w:cs="Times New Roman"/>
          <w:color w:val="1C1D1E"/>
        </w:rPr>
        <w:t>, 2010].</w:t>
      </w:r>
    </w:p>
    <w:p w14:paraId="0B429AA9" w14:textId="77777777" w:rsidR="004E6167" w:rsidRPr="003C5914" w:rsidRDefault="004E6167" w:rsidP="003C5914">
      <w:pPr>
        <w:shd w:val="clear" w:color="auto" w:fill="FFFFFF"/>
        <w:rPr>
          <w:rFonts w:ascii="Times New Roman" w:eastAsia="Times New Roman" w:hAnsi="Times New Roman" w:cs="Times New Roman"/>
          <w:color w:val="1C1D1E"/>
        </w:rPr>
      </w:pPr>
      <w:r w:rsidRPr="003C5914">
        <w:rPr>
          <w:rFonts w:ascii="Times New Roman" w:eastAsia="Times New Roman" w:hAnsi="Times New Roman" w:cs="Times New Roman"/>
          <w:color w:val="1C1D1E"/>
        </w:rPr>
        <w:lastRenderedPageBreak/>
        <w:t>[3] If vegetation does produce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the magnitude of emissions may contribute significantly to global fluxes. At the low end, the U.S. Environmental Protection Agency estimates emissions from vegetation of 20 Tg·yr</w:t>
      </w:r>
      <w:r w:rsidRPr="003C5914">
        <w:rPr>
          <w:rFonts w:ascii="Times New Roman" w:eastAsia="Times New Roman" w:hAnsi="Times New Roman" w:cs="Times New Roman"/>
          <w:color w:val="1C1D1E"/>
          <w:vertAlign w:val="superscript"/>
        </w:rPr>
        <w:t>−1</w:t>
      </w:r>
      <w:r w:rsidRPr="003C5914">
        <w:rPr>
          <w:rFonts w:ascii="Times New Roman" w:eastAsia="Times New Roman" w:hAnsi="Times New Roman" w:cs="Times New Roman"/>
          <w:color w:val="1C1D1E"/>
        </w:rPr>
        <w:t>; roughly equivalent to the global warming potential (GWP) of CO</w:t>
      </w:r>
      <w:r w:rsidRPr="003C5914">
        <w:rPr>
          <w:rFonts w:ascii="Times New Roman" w:eastAsia="Times New Roman" w:hAnsi="Times New Roman" w:cs="Times New Roman"/>
          <w:color w:val="1C1D1E"/>
          <w:vertAlign w:val="subscript"/>
        </w:rPr>
        <w:t>2</w:t>
      </w:r>
      <w:r w:rsidRPr="003C5914">
        <w:rPr>
          <w:rFonts w:ascii="Times New Roman" w:eastAsia="Times New Roman" w:hAnsi="Times New Roman" w:cs="Times New Roman"/>
          <w:color w:val="1C1D1E"/>
        </w:rPr>
        <w:t> released through U.S. residential use of fossil fuels. At the high end, emissions from vegetation may be 60 Tg·yr</w:t>
      </w:r>
      <w:r w:rsidRPr="003C5914">
        <w:rPr>
          <w:rFonts w:ascii="Times New Roman" w:eastAsia="Times New Roman" w:hAnsi="Times New Roman" w:cs="Times New Roman"/>
          <w:color w:val="1C1D1E"/>
          <w:vertAlign w:val="superscript"/>
        </w:rPr>
        <w:t>−1</w:t>
      </w:r>
      <w:r w:rsidRPr="003C5914">
        <w:rPr>
          <w:rFonts w:ascii="Times New Roman" w:eastAsia="Times New Roman" w:hAnsi="Times New Roman" w:cs="Times New Roman"/>
          <w:color w:val="1C1D1E"/>
        </w:rPr>
        <w:t>; approximately equal to the GWP of fossil‐fuel CO</w:t>
      </w:r>
      <w:r w:rsidRPr="003C5914">
        <w:rPr>
          <w:rFonts w:ascii="Times New Roman" w:eastAsia="Times New Roman" w:hAnsi="Times New Roman" w:cs="Times New Roman"/>
          <w:color w:val="1C1D1E"/>
          <w:vertAlign w:val="subscript"/>
        </w:rPr>
        <w:t>2</w:t>
      </w:r>
      <w:r w:rsidRPr="003C5914">
        <w:rPr>
          <w:rFonts w:ascii="Times New Roman" w:eastAsia="Times New Roman" w:hAnsi="Times New Roman" w:cs="Times New Roman"/>
          <w:color w:val="1C1D1E"/>
        </w:rPr>
        <w:t>emissions from combined U.S. industrial, residential and commercial sources [</w:t>
      </w:r>
      <w:hyperlink r:id="rId28" w:anchor="grl29360-bib-0001" w:history="1">
        <w:r w:rsidRPr="003C5914">
          <w:rPr>
            <w:rFonts w:ascii="Times New Roman" w:eastAsia="Times New Roman" w:hAnsi="Times New Roman" w:cs="Times New Roman"/>
            <w:b/>
            <w:bCs/>
            <w:i/>
            <w:iCs/>
            <w:color w:val="005293"/>
            <w:u w:val="single"/>
          </w:rPr>
          <w:t>Anderson et al.</w:t>
        </w:r>
        <w:r w:rsidRPr="003C5914">
          <w:rPr>
            <w:rFonts w:ascii="Times New Roman" w:eastAsia="Times New Roman" w:hAnsi="Times New Roman" w:cs="Times New Roman"/>
            <w:b/>
            <w:bCs/>
            <w:color w:val="005293"/>
            <w:u w:val="single"/>
          </w:rPr>
          <w:t>, 2010</w:t>
        </w:r>
      </w:hyperlink>
      <w:r w:rsidRPr="003C5914">
        <w:rPr>
          <w:rFonts w:ascii="Times New Roman" w:eastAsia="Times New Roman" w:hAnsi="Times New Roman" w:cs="Times New Roman"/>
          <w:color w:val="1C1D1E"/>
        </w:rPr>
        <w:t>; </w:t>
      </w:r>
      <w:hyperlink r:id="rId29" w:anchor="grl29360-bib-0017" w:history="1">
        <w:r w:rsidRPr="003C5914">
          <w:rPr>
            <w:rFonts w:ascii="Times New Roman" w:eastAsia="Times New Roman" w:hAnsi="Times New Roman" w:cs="Times New Roman"/>
            <w:b/>
            <w:bCs/>
            <w:i/>
            <w:iCs/>
            <w:color w:val="005293"/>
            <w:u w:val="single"/>
          </w:rPr>
          <w:t>Environmental Protection Agency</w:t>
        </w:r>
        <w:r w:rsidRPr="003C5914">
          <w:rPr>
            <w:rFonts w:ascii="Times New Roman" w:eastAsia="Times New Roman" w:hAnsi="Times New Roman" w:cs="Times New Roman"/>
            <w:b/>
            <w:bCs/>
            <w:color w:val="005293"/>
            <w:u w:val="single"/>
          </w:rPr>
          <w:t>, 2011</w:t>
        </w:r>
      </w:hyperlink>
      <w:r w:rsidRPr="003C5914">
        <w:rPr>
          <w:rFonts w:ascii="Times New Roman" w:eastAsia="Times New Roman" w:hAnsi="Times New Roman" w:cs="Times New Roman"/>
          <w:color w:val="1C1D1E"/>
        </w:rPr>
        <w:t>]. To quantify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emissions from vegetation, two general methods have been used: bottom‐up approaches where flux measurements for individual plants or field plots are extrapolated to regional or global scales [</w:t>
      </w:r>
      <w:hyperlink r:id="rId30" w:anchor="grl29360-bib-0029" w:history="1">
        <w:r w:rsidRPr="003C5914">
          <w:rPr>
            <w:rFonts w:ascii="Times New Roman" w:eastAsia="Times New Roman" w:hAnsi="Times New Roman" w:cs="Times New Roman"/>
            <w:b/>
            <w:bCs/>
            <w:i/>
            <w:iCs/>
            <w:color w:val="005293"/>
            <w:u w:val="single"/>
          </w:rPr>
          <w:t>Keppler et al.</w:t>
        </w:r>
        <w:r w:rsidRPr="003C5914">
          <w:rPr>
            <w:rFonts w:ascii="Times New Roman" w:eastAsia="Times New Roman" w:hAnsi="Times New Roman" w:cs="Times New Roman"/>
            <w:b/>
            <w:bCs/>
            <w:color w:val="005293"/>
            <w:u w:val="single"/>
          </w:rPr>
          <w:t>, 2006</w:t>
        </w:r>
      </w:hyperlink>
      <w:r w:rsidRPr="003C5914">
        <w:rPr>
          <w:rFonts w:ascii="Times New Roman" w:eastAsia="Times New Roman" w:hAnsi="Times New Roman" w:cs="Times New Roman"/>
          <w:color w:val="1C1D1E"/>
        </w:rPr>
        <w:t>; </w:t>
      </w:r>
      <w:hyperlink r:id="rId31" w:anchor="grl29360-bib-0031" w:history="1">
        <w:r w:rsidRPr="003C5914">
          <w:rPr>
            <w:rFonts w:ascii="Times New Roman" w:eastAsia="Times New Roman" w:hAnsi="Times New Roman" w:cs="Times New Roman"/>
            <w:b/>
            <w:bCs/>
            <w:i/>
            <w:iCs/>
            <w:color w:val="005293"/>
            <w:u w:val="single"/>
          </w:rPr>
          <w:t>Kirschbaum et al.</w:t>
        </w:r>
        <w:r w:rsidRPr="003C5914">
          <w:rPr>
            <w:rFonts w:ascii="Times New Roman" w:eastAsia="Times New Roman" w:hAnsi="Times New Roman" w:cs="Times New Roman"/>
            <w:b/>
            <w:bCs/>
            <w:color w:val="005293"/>
            <w:u w:val="single"/>
          </w:rPr>
          <w:t>, 2006</w:t>
        </w:r>
      </w:hyperlink>
      <w:r w:rsidRPr="003C5914">
        <w:rPr>
          <w:rFonts w:ascii="Times New Roman" w:eastAsia="Times New Roman" w:hAnsi="Times New Roman" w:cs="Times New Roman"/>
          <w:color w:val="1C1D1E"/>
        </w:rPr>
        <w:t>; </w:t>
      </w:r>
      <w:hyperlink r:id="rId32" w:anchor="grl29360-bib-0042" w:history="1">
        <w:r w:rsidRPr="003C5914">
          <w:rPr>
            <w:rFonts w:ascii="Times New Roman" w:eastAsia="Times New Roman" w:hAnsi="Times New Roman" w:cs="Times New Roman"/>
            <w:b/>
            <w:bCs/>
            <w:i/>
            <w:iCs/>
            <w:color w:val="005293"/>
            <w:u w:val="single"/>
          </w:rPr>
          <w:t>Parsons et al.</w:t>
        </w:r>
        <w:r w:rsidRPr="003C5914">
          <w:rPr>
            <w:rFonts w:ascii="Times New Roman" w:eastAsia="Times New Roman" w:hAnsi="Times New Roman" w:cs="Times New Roman"/>
            <w:b/>
            <w:bCs/>
            <w:color w:val="005293"/>
            <w:u w:val="single"/>
          </w:rPr>
          <w:t>, 2006</w:t>
        </w:r>
      </w:hyperlink>
      <w:r w:rsidRPr="003C5914">
        <w:rPr>
          <w:rFonts w:ascii="Times New Roman" w:eastAsia="Times New Roman" w:hAnsi="Times New Roman" w:cs="Times New Roman"/>
          <w:color w:val="1C1D1E"/>
        </w:rPr>
        <w:t>]; and top‐down approaches that identify “missing”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from global models and reconcile it with proposed emissions from land [</w:t>
      </w:r>
      <w:hyperlink r:id="rId33" w:anchor="grl29360-bib-0002" w:history="1">
        <w:r w:rsidRPr="003C5914">
          <w:rPr>
            <w:rFonts w:ascii="Times New Roman" w:eastAsia="Times New Roman" w:hAnsi="Times New Roman" w:cs="Times New Roman"/>
            <w:b/>
            <w:bCs/>
            <w:i/>
            <w:iCs/>
            <w:color w:val="005293"/>
            <w:u w:val="single"/>
          </w:rPr>
          <w:t>Aydin et al.</w:t>
        </w:r>
        <w:r w:rsidRPr="003C5914">
          <w:rPr>
            <w:rFonts w:ascii="Times New Roman" w:eastAsia="Times New Roman" w:hAnsi="Times New Roman" w:cs="Times New Roman"/>
            <w:b/>
            <w:bCs/>
            <w:color w:val="005293"/>
            <w:u w:val="single"/>
          </w:rPr>
          <w:t>, 2011</w:t>
        </w:r>
      </w:hyperlink>
      <w:r w:rsidRPr="003C5914">
        <w:rPr>
          <w:rFonts w:ascii="Times New Roman" w:eastAsia="Times New Roman" w:hAnsi="Times New Roman" w:cs="Times New Roman"/>
          <w:color w:val="1C1D1E"/>
        </w:rPr>
        <w:t>; </w:t>
      </w:r>
      <w:hyperlink r:id="rId34" w:anchor="grl29360-bib-0007" w:history="1">
        <w:r w:rsidRPr="003C5914">
          <w:rPr>
            <w:rFonts w:ascii="Times New Roman" w:eastAsia="Times New Roman" w:hAnsi="Times New Roman" w:cs="Times New Roman"/>
            <w:b/>
            <w:bCs/>
            <w:i/>
            <w:iCs/>
            <w:color w:val="005293"/>
            <w:u w:val="single"/>
          </w:rPr>
          <w:t>Bousquet et al.</w:t>
        </w:r>
        <w:r w:rsidRPr="003C5914">
          <w:rPr>
            <w:rFonts w:ascii="Times New Roman" w:eastAsia="Times New Roman" w:hAnsi="Times New Roman" w:cs="Times New Roman"/>
            <w:b/>
            <w:bCs/>
            <w:color w:val="005293"/>
            <w:u w:val="single"/>
          </w:rPr>
          <w:t>, 2006</w:t>
        </w:r>
      </w:hyperlink>
      <w:r w:rsidRPr="003C5914">
        <w:rPr>
          <w:rFonts w:ascii="Times New Roman" w:eastAsia="Times New Roman" w:hAnsi="Times New Roman" w:cs="Times New Roman"/>
          <w:color w:val="1C1D1E"/>
        </w:rPr>
        <w:t>; </w:t>
      </w:r>
      <w:hyperlink r:id="rId35" w:anchor="grl29360-bib-0018" w:history="1">
        <w:r w:rsidRPr="003C5914">
          <w:rPr>
            <w:rFonts w:ascii="Times New Roman" w:eastAsia="Times New Roman" w:hAnsi="Times New Roman" w:cs="Times New Roman"/>
            <w:b/>
            <w:bCs/>
            <w:i/>
            <w:iCs/>
            <w:color w:val="005293"/>
            <w:u w:val="single"/>
          </w:rPr>
          <w:t>Frankenberg et al.</w:t>
        </w:r>
        <w:r w:rsidRPr="003C5914">
          <w:rPr>
            <w:rFonts w:ascii="Times New Roman" w:eastAsia="Times New Roman" w:hAnsi="Times New Roman" w:cs="Times New Roman"/>
            <w:b/>
            <w:bCs/>
            <w:color w:val="005293"/>
            <w:u w:val="single"/>
          </w:rPr>
          <w:t>, 2005</w:t>
        </w:r>
      </w:hyperlink>
      <w:r w:rsidRPr="003C5914">
        <w:rPr>
          <w:rFonts w:ascii="Times New Roman" w:eastAsia="Times New Roman" w:hAnsi="Times New Roman" w:cs="Times New Roman"/>
          <w:color w:val="1C1D1E"/>
        </w:rPr>
        <w:t>; </w:t>
      </w:r>
      <w:hyperlink r:id="rId36" w:anchor="grl29360-bib-0024" w:history="1">
        <w:r w:rsidRPr="003C5914">
          <w:rPr>
            <w:rFonts w:ascii="Times New Roman" w:eastAsia="Times New Roman" w:hAnsi="Times New Roman" w:cs="Times New Roman"/>
            <w:b/>
            <w:bCs/>
            <w:i/>
            <w:iCs/>
            <w:color w:val="005293"/>
            <w:u w:val="single"/>
          </w:rPr>
          <w:t>Houweling</w:t>
        </w:r>
        <w:r w:rsidRPr="003C5914">
          <w:rPr>
            <w:rFonts w:ascii="Times New Roman" w:eastAsia="Times New Roman" w:hAnsi="Times New Roman" w:cs="Times New Roman"/>
            <w:b/>
            <w:bCs/>
            <w:color w:val="005293"/>
            <w:u w:val="single"/>
          </w:rPr>
          <w:t>, 1999</w:t>
        </w:r>
      </w:hyperlink>
      <w:r w:rsidRPr="003C5914">
        <w:rPr>
          <w:rFonts w:ascii="Times New Roman" w:eastAsia="Times New Roman" w:hAnsi="Times New Roman" w:cs="Times New Roman"/>
          <w:color w:val="1C1D1E"/>
        </w:rPr>
        <w:t>; </w:t>
      </w:r>
      <w:hyperlink r:id="rId37" w:anchor="grl29360-bib-0028" w:history="1">
        <w:r w:rsidRPr="003C5914">
          <w:rPr>
            <w:rFonts w:ascii="Times New Roman" w:eastAsia="Times New Roman" w:hAnsi="Times New Roman" w:cs="Times New Roman"/>
            <w:b/>
            <w:bCs/>
            <w:i/>
            <w:iCs/>
            <w:color w:val="005293"/>
            <w:u w:val="single"/>
          </w:rPr>
          <w:t>Kai et al.</w:t>
        </w:r>
        <w:r w:rsidRPr="003C5914">
          <w:rPr>
            <w:rFonts w:ascii="Times New Roman" w:eastAsia="Times New Roman" w:hAnsi="Times New Roman" w:cs="Times New Roman"/>
            <w:b/>
            <w:bCs/>
            <w:color w:val="005293"/>
            <w:u w:val="single"/>
          </w:rPr>
          <w:t>, 2011</w:t>
        </w:r>
      </w:hyperlink>
      <w:r w:rsidRPr="003C5914">
        <w:rPr>
          <w:rFonts w:ascii="Times New Roman" w:eastAsia="Times New Roman" w:hAnsi="Times New Roman" w:cs="Times New Roman"/>
          <w:color w:val="1C1D1E"/>
        </w:rPr>
        <w:t>]. The validity of global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emission estimates from both approaches hinges on whether vegetation directly produces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w:t>
      </w:r>
      <w:hyperlink r:id="rId38" w:anchor="grl29360-bib-0040" w:history="1">
        <w:r w:rsidRPr="003C5914">
          <w:rPr>
            <w:rFonts w:ascii="Times New Roman" w:eastAsia="Times New Roman" w:hAnsi="Times New Roman" w:cs="Times New Roman"/>
            <w:b/>
            <w:bCs/>
            <w:i/>
            <w:iCs/>
            <w:color w:val="005293"/>
            <w:u w:val="single"/>
          </w:rPr>
          <w:t>Nisbet et al.</w:t>
        </w:r>
        <w:r w:rsidRPr="003C5914">
          <w:rPr>
            <w:rFonts w:ascii="Times New Roman" w:eastAsia="Times New Roman" w:hAnsi="Times New Roman" w:cs="Times New Roman"/>
            <w:b/>
            <w:bCs/>
            <w:color w:val="005293"/>
            <w:u w:val="single"/>
          </w:rPr>
          <w:t>, 2009</w:t>
        </w:r>
      </w:hyperlink>
      <w:r w:rsidRPr="003C5914">
        <w:rPr>
          <w:rFonts w:ascii="Times New Roman" w:eastAsia="Times New Roman" w:hAnsi="Times New Roman" w:cs="Times New Roman"/>
          <w:color w:val="1C1D1E"/>
        </w:rPr>
        <w:t>]. Certainly, in water‐inundated soils, trees can act as a conduit for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release from soils to the atmosphere [</w:t>
      </w:r>
      <w:hyperlink r:id="rId39" w:anchor="grl29360-bib-0046" w:history="1">
        <w:r w:rsidRPr="003C5914">
          <w:rPr>
            <w:rFonts w:ascii="Times New Roman" w:eastAsia="Times New Roman" w:hAnsi="Times New Roman" w:cs="Times New Roman"/>
            <w:b/>
            <w:bCs/>
            <w:i/>
            <w:iCs/>
            <w:color w:val="005293"/>
            <w:u w:val="single"/>
          </w:rPr>
          <w:t>Rice et al.</w:t>
        </w:r>
        <w:r w:rsidRPr="003C5914">
          <w:rPr>
            <w:rFonts w:ascii="Times New Roman" w:eastAsia="Times New Roman" w:hAnsi="Times New Roman" w:cs="Times New Roman"/>
            <w:b/>
            <w:bCs/>
            <w:color w:val="005293"/>
            <w:u w:val="single"/>
          </w:rPr>
          <w:t>, 2010</w:t>
        </w:r>
      </w:hyperlink>
      <w:r w:rsidRPr="003C5914">
        <w:rPr>
          <w:rFonts w:ascii="Times New Roman" w:eastAsia="Times New Roman" w:hAnsi="Times New Roman" w:cs="Times New Roman"/>
          <w:color w:val="1C1D1E"/>
        </w:rPr>
        <w:t>; </w:t>
      </w:r>
      <w:hyperlink r:id="rId40" w:anchor="grl29360-bib-0047" w:history="1">
        <w:r w:rsidRPr="003C5914">
          <w:rPr>
            <w:rFonts w:ascii="Times New Roman" w:eastAsia="Times New Roman" w:hAnsi="Times New Roman" w:cs="Times New Roman"/>
            <w:b/>
            <w:bCs/>
            <w:i/>
            <w:iCs/>
            <w:color w:val="005293"/>
            <w:u w:val="single"/>
          </w:rPr>
          <w:t>Rusch and Rennenberg</w:t>
        </w:r>
        <w:r w:rsidRPr="003C5914">
          <w:rPr>
            <w:rFonts w:ascii="Times New Roman" w:eastAsia="Times New Roman" w:hAnsi="Times New Roman" w:cs="Times New Roman"/>
            <w:b/>
            <w:bCs/>
            <w:color w:val="005293"/>
            <w:u w:val="single"/>
          </w:rPr>
          <w:t>, 1998</w:t>
        </w:r>
      </w:hyperlink>
      <w:r w:rsidRPr="003C5914">
        <w:rPr>
          <w:rFonts w:ascii="Times New Roman" w:eastAsia="Times New Roman" w:hAnsi="Times New Roman" w:cs="Times New Roman"/>
          <w:color w:val="1C1D1E"/>
        </w:rPr>
        <w:t>; </w:t>
      </w:r>
      <w:hyperlink r:id="rId41" w:anchor="grl29360-bib-0056" w:history="1">
        <w:r w:rsidRPr="003C5914">
          <w:rPr>
            <w:rFonts w:ascii="Times New Roman" w:eastAsia="Times New Roman" w:hAnsi="Times New Roman" w:cs="Times New Roman"/>
            <w:b/>
            <w:bCs/>
            <w:i/>
            <w:iCs/>
            <w:color w:val="005293"/>
            <w:u w:val="single"/>
          </w:rPr>
          <w:t>Terazawa et al.</w:t>
        </w:r>
        <w:r w:rsidRPr="003C5914">
          <w:rPr>
            <w:rFonts w:ascii="Times New Roman" w:eastAsia="Times New Roman" w:hAnsi="Times New Roman" w:cs="Times New Roman"/>
            <w:b/>
            <w:bCs/>
            <w:color w:val="005293"/>
            <w:u w:val="single"/>
          </w:rPr>
          <w:t>, 2007</w:t>
        </w:r>
      </w:hyperlink>
      <w:r w:rsidRPr="003C5914">
        <w:rPr>
          <w:rFonts w:ascii="Times New Roman" w:eastAsia="Times New Roman" w:hAnsi="Times New Roman" w:cs="Times New Roman"/>
          <w:color w:val="1C1D1E"/>
        </w:rPr>
        <w:t>]. And although UV light does seem responsible for direct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production from vegetation, this aerobic mechanism remains uncharacterized [</w:t>
      </w:r>
      <w:hyperlink r:id="rId42" w:anchor="grl29360-bib-0011" w:history="1">
        <w:r w:rsidRPr="003C5914">
          <w:rPr>
            <w:rFonts w:ascii="Times New Roman" w:eastAsia="Times New Roman" w:hAnsi="Times New Roman" w:cs="Times New Roman"/>
            <w:b/>
            <w:bCs/>
            <w:i/>
            <w:iCs/>
            <w:color w:val="005293"/>
            <w:u w:val="single"/>
          </w:rPr>
          <w:t>Bruhn et al.</w:t>
        </w:r>
        <w:r w:rsidRPr="003C5914">
          <w:rPr>
            <w:rFonts w:ascii="Times New Roman" w:eastAsia="Times New Roman" w:hAnsi="Times New Roman" w:cs="Times New Roman"/>
            <w:b/>
            <w:bCs/>
            <w:color w:val="005293"/>
            <w:u w:val="single"/>
          </w:rPr>
          <w:t>, 2012</w:t>
        </w:r>
      </w:hyperlink>
      <w:r w:rsidRPr="003C5914">
        <w:rPr>
          <w:rFonts w:ascii="Times New Roman" w:eastAsia="Times New Roman" w:hAnsi="Times New Roman" w:cs="Times New Roman"/>
          <w:color w:val="1C1D1E"/>
        </w:rPr>
        <w:t>; </w:t>
      </w:r>
      <w:hyperlink r:id="rId43" w:anchor="grl29360-bib-0030" w:history="1">
        <w:r w:rsidRPr="003C5914">
          <w:rPr>
            <w:rFonts w:ascii="Times New Roman" w:eastAsia="Times New Roman" w:hAnsi="Times New Roman" w:cs="Times New Roman"/>
            <w:b/>
            <w:bCs/>
            <w:i/>
            <w:iCs/>
            <w:color w:val="005293"/>
            <w:u w:val="single"/>
          </w:rPr>
          <w:t>Keppler et al.</w:t>
        </w:r>
        <w:r w:rsidRPr="003C5914">
          <w:rPr>
            <w:rFonts w:ascii="Times New Roman" w:eastAsia="Times New Roman" w:hAnsi="Times New Roman" w:cs="Times New Roman"/>
            <w:b/>
            <w:bCs/>
            <w:color w:val="005293"/>
            <w:u w:val="single"/>
          </w:rPr>
          <w:t>, 2009</w:t>
        </w:r>
      </w:hyperlink>
      <w:r w:rsidRPr="003C5914">
        <w:rPr>
          <w:rFonts w:ascii="Times New Roman" w:eastAsia="Times New Roman" w:hAnsi="Times New Roman" w:cs="Times New Roman"/>
          <w:color w:val="1C1D1E"/>
        </w:rPr>
        <w:t>]. This has led to omission of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production from living plants as a source in recent, global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budgets [</w:t>
      </w:r>
      <w:hyperlink r:id="rId44" w:anchor="grl29360-bib-0015" w:history="1">
        <w:r w:rsidRPr="003C5914">
          <w:rPr>
            <w:rFonts w:ascii="Times New Roman" w:eastAsia="Times New Roman" w:hAnsi="Times New Roman" w:cs="Times New Roman"/>
            <w:b/>
            <w:bCs/>
            <w:i/>
            <w:iCs/>
            <w:color w:val="005293"/>
            <w:u w:val="single"/>
          </w:rPr>
          <w:t>Dlugokencky et al.</w:t>
        </w:r>
        <w:r w:rsidRPr="003C5914">
          <w:rPr>
            <w:rFonts w:ascii="Times New Roman" w:eastAsia="Times New Roman" w:hAnsi="Times New Roman" w:cs="Times New Roman"/>
            <w:b/>
            <w:bCs/>
            <w:color w:val="005293"/>
            <w:u w:val="single"/>
          </w:rPr>
          <w:t>, 2011</w:t>
        </w:r>
      </w:hyperlink>
      <w:r w:rsidRPr="003C5914">
        <w:rPr>
          <w:rFonts w:ascii="Times New Roman" w:eastAsia="Times New Roman" w:hAnsi="Times New Roman" w:cs="Times New Roman"/>
          <w:color w:val="1C1D1E"/>
        </w:rPr>
        <w:t>]. However, a second mechanism of direct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production from living plants exists: the archael methanogens colonizing the wood of trees [</w:t>
      </w:r>
      <w:hyperlink r:id="rId45" w:anchor="grl29360-bib-0049" w:history="1">
        <w:r w:rsidRPr="003C5914">
          <w:rPr>
            <w:rFonts w:ascii="Times New Roman" w:eastAsia="Times New Roman" w:hAnsi="Times New Roman" w:cs="Times New Roman"/>
            <w:b/>
            <w:bCs/>
            <w:i/>
            <w:iCs/>
            <w:color w:val="005293"/>
            <w:u w:val="single"/>
          </w:rPr>
          <w:t>Schink and Ward</w:t>
        </w:r>
        <w:r w:rsidRPr="003C5914">
          <w:rPr>
            <w:rFonts w:ascii="Times New Roman" w:eastAsia="Times New Roman" w:hAnsi="Times New Roman" w:cs="Times New Roman"/>
            <w:b/>
            <w:bCs/>
            <w:color w:val="005293"/>
            <w:u w:val="single"/>
          </w:rPr>
          <w:t>, 1984</w:t>
        </w:r>
      </w:hyperlink>
      <w:r w:rsidRPr="003C5914">
        <w:rPr>
          <w:rFonts w:ascii="Times New Roman" w:eastAsia="Times New Roman" w:hAnsi="Times New Roman" w:cs="Times New Roman"/>
          <w:color w:val="1C1D1E"/>
        </w:rPr>
        <w:t>; </w:t>
      </w:r>
      <w:hyperlink r:id="rId46" w:anchor="grl29360-bib-0058" w:history="1">
        <w:r w:rsidRPr="003C5914">
          <w:rPr>
            <w:rFonts w:ascii="Times New Roman" w:eastAsia="Times New Roman" w:hAnsi="Times New Roman" w:cs="Times New Roman"/>
            <w:b/>
            <w:bCs/>
            <w:i/>
            <w:iCs/>
            <w:color w:val="005293"/>
            <w:u w:val="single"/>
          </w:rPr>
          <w:t>Van Der Kamp et al.</w:t>
        </w:r>
        <w:r w:rsidRPr="003C5914">
          <w:rPr>
            <w:rFonts w:ascii="Times New Roman" w:eastAsia="Times New Roman" w:hAnsi="Times New Roman" w:cs="Times New Roman"/>
            <w:b/>
            <w:bCs/>
            <w:color w:val="005293"/>
            <w:u w:val="single"/>
          </w:rPr>
          <w:t>, 1979</w:t>
        </w:r>
      </w:hyperlink>
      <w:r w:rsidRPr="003C5914">
        <w:rPr>
          <w:rFonts w:ascii="Times New Roman" w:eastAsia="Times New Roman" w:hAnsi="Times New Roman" w:cs="Times New Roman"/>
          <w:color w:val="1C1D1E"/>
        </w:rPr>
        <w:t>; </w:t>
      </w:r>
      <w:hyperlink r:id="rId47" w:anchor="grl29360-bib-0061" w:history="1">
        <w:r w:rsidRPr="003C5914">
          <w:rPr>
            <w:rFonts w:ascii="Times New Roman" w:eastAsia="Times New Roman" w:hAnsi="Times New Roman" w:cs="Times New Roman"/>
            <w:b/>
            <w:bCs/>
            <w:i/>
            <w:iCs/>
            <w:color w:val="005293"/>
            <w:u w:val="single"/>
          </w:rPr>
          <w:t>Xu and Leininger</w:t>
        </w:r>
        <w:r w:rsidRPr="003C5914">
          <w:rPr>
            <w:rFonts w:ascii="Times New Roman" w:eastAsia="Times New Roman" w:hAnsi="Times New Roman" w:cs="Times New Roman"/>
            <w:b/>
            <w:bCs/>
            <w:color w:val="005293"/>
            <w:u w:val="single"/>
          </w:rPr>
          <w:t>, 2001</w:t>
        </w:r>
      </w:hyperlink>
      <w:r w:rsidRPr="003C5914">
        <w:rPr>
          <w:rFonts w:ascii="Times New Roman" w:eastAsia="Times New Roman" w:hAnsi="Times New Roman" w:cs="Times New Roman"/>
          <w:color w:val="1C1D1E"/>
        </w:rPr>
        <w:t>; </w:t>
      </w:r>
      <w:hyperlink r:id="rId48" w:anchor="grl29360-bib-0063" w:history="1">
        <w:r w:rsidRPr="003C5914">
          <w:rPr>
            <w:rFonts w:ascii="Times New Roman" w:eastAsia="Times New Roman" w:hAnsi="Times New Roman" w:cs="Times New Roman"/>
            <w:b/>
            <w:bCs/>
            <w:i/>
            <w:iCs/>
            <w:color w:val="005293"/>
            <w:u w:val="single"/>
          </w:rPr>
          <w:t>Zeikus and Ward</w:t>
        </w:r>
        <w:r w:rsidRPr="003C5914">
          <w:rPr>
            <w:rFonts w:ascii="Times New Roman" w:eastAsia="Times New Roman" w:hAnsi="Times New Roman" w:cs="Times New Roman"/>
            <w:b/>
            <w:bCs/>
            <w:color w:val="005293"/>
            <w:u w:val="single"/>
          </w:rPr>
          <w:t>, 1974</w:t>
        </w:r>
      </w:hyperlink>
      <w:r w:rsidRPr="003C5914">
        <w:rPr>
          <w:rFonts w:ascii="Times New Roman" w:eastAsia="Times New Roman" w:hAnsi="Times New Roman" w:cs="Times New Roman"/>
          <w:color w:val="1C1D1E"/>
        </w:rPr>
        <w:t>; </w:t>
      </w:r>
      <w:hyperlink r:id="rId49" w:anchor="grl29360-bib-0062" w:history="1">
        <w:r w:rsidRPr="003C5914">
          <w:rPr>
            <w:rFonts w:ascii="Times New Roman" w:eastAsia="Times New Roman" w:hAnsi="Times New Roman" w:cs="Times New Roman"/>
            <w:b/>
            <w:bCs/>
            <w:i/>
            <w:iCs/>
            <w:color w:val="005293"/>
            <w:u w:val="single"/>
          </w:rPr>
          <w:t>Zeikus and Henning</w:t>
        </w:r>
        <w:r w:rsidRPr="003C5914">
          <w:rPr>
            <w:rFonts w:ascii="Times New Roman" w:eastAsia="Times New Roman" w:hAnsi="Times New Roman" w:cs="Times New Roman"/>
            <w:b/>
            <w:bCs/>
            <w:color w:val="005293"/>
            <w:u w:val="single"/>
          </w:rPr>
          <w:t>, 1975</w:t>
        </w:r>
      </w:hyperlink>
      <w:r w:rsidRPr="003C5914">
        <w:rPr>
          <w:rFonts w:ascii="Times New Roman" w:eastAsia="Times New Roman" w:hAnsi="Times New Roman" w:cs="Times New Roman"/>
          <w:color w:val="1C1D1E"/>
        </w:rPr>
        <w:t>].</w:t>
      </w:r>
    </w:p>
    <w:p w14:paraId="153408C2" w14:textId="77777777" w:rsidR="004E6167" w:rsidRPr="003C5914" w:rsidRDefault="004E6167" w:rsidP="003C5914">
      <w:pPr>
        <w:shd w:val="clear" w:color="auto" w:fill="FFFFFF"/>
        <w:rPr>
          <w:rFonts w:ascii="Times New Roman" w:eastAsia="Times New Roman" w:hAnsi="Times New Roman" w:cs="Times New Roman"/>
          <w:color w:val="1C1D1E"/>
        </w:rPr>
      </w:pPr>
      <w:r w:rsidRPr="003C5914">
        <w:rPr>
          <w:rFonts w:ascii="Times New Roman" w:eastAsia="Times New Roman" w:hAnsi="Times New Roman" w:cs="Times New Roman"/>
          <w:color w:val="1C1D1E"/>
        </w:rPr>
        <w:t>[4] In the natural world, disease and decay commonly occur together. Decay of organic matter produces gases such as CO</w:t>
      </w:r>
      <w:r w:rsidRPr="003C5914">
        <w:rPr>
          <w:rFonts w:ascii="Times New Roman" w:eastAsia="Times New Roman" w:hAnsi="Times New Roman" w:cs="Times New Roman"/>
          <w:color w:val="1C1D1E"/>
          <w:vertAlign w:val="subscript"/>
        </w:rPr>
        <w:t>2</w:t>
      </w:r>
      <w:r w:rsidRPr="003C5914">
        <w:rPr>
          <w:rFonts w:ascii="Times New Roman" w:eastAsia="Times New Roman" w:hAnsi="Times New Roman" w:cs="Times New Roman"/>
          <w:color w:val="1C1D1E"/>
        </w:rPr>
        <w:t> and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and hence is a fundamental determinant of global biogeochemical cycling rates and atmospheric chemistry. Concentrations of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as high as 60% have been found in tree boles [</w:t>
      </w:r>
      <w:hyperlink r:id="rId50" w:anchor="grl29360-bib-0013" w:history="1">
        <w:r w:rsidRPr="003C5914">
          <w:rPr>
            <w:rFonts w:ascii="Times New Roman" w:eastAsia="Times New Roman" w:hAnsi="Times New Roman" w:cs="Times New Roman"/>
            <w:b/>
            <w:bCs/>
            <w:i/>
            <w:iCs/>
            <w:color w:val="005293"/>
            <w:u w:val="single"/>
          </w:rPr>
          <w:t>Bushong</w:t>
        </w:r>
        <w:r w:rsidRPr="003C5914">
          <w:rPr>
            <w:rFonts w:ascii="Times New Roman" w:eastAsia="Times New Roman" w:hAnsi="Times New Roman" w:cs="Times New Roman"/>
            <w:b/>
            <w:bCs/>
            <w:color w:val="005293"/>
            <w:u w:val="single"/>
          </w:rPr>
          <w:t>, 1907</w:t>
        </w:r>
      </w:hyperlink>
      <w:r w:rsidRPr="003C5914">
        <w:rPr>
          <w:rFonts w:ascii="Times New Roman" w:eastAsia="Times New Roman" w:hAnsi="Times New Roman" w:cs="Times New Roman"/>
          <w:color w:val="1C1D1E"/>
        </w:rPr>
        <w:t>]. At least one source of high trunk‐gas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concentrations has been known for more than forty years: bacterial infection of heartwood (i.e. non‐living tissue that primarily accumulates in trunks as trees age). This infection promotes wetwood and, with it, production of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through classical methanogenesis [</w:t>
      </w:r>
      <w:hyperlink r:id="rId51" w:anchor="grl29360-bib-0063" w:history="1">
        <w:r w:rsidRPr="003C5914">
          <w:rPr>
            <w:rFonts w:ascii="Times New Roman" w:eastAsia="Times New Roman" w:hAnsi="Times New Roman" w:cs="Times New Roman"/>
            <w:b/>
            <w:bCs/>
            <w:i/>
            <w:iCs/>
            <w:color w:val="005293"/>
            <w:u w:val="single"/>
          </w:rPr>
          <w:t>Zeikus and Ward</w:t>
        </w:r>
        <w:r w:rsidRPr="003C5914">
          <w:rPr>
            <w:rFonts w:ascii="Times New Roman" w:eastAsia="Times New Roman" w:hAnsi="Times New Roman" w:cs="Times New Roman"/>
            <w:b/>
            <w:bCs/>
            <w:color w:val="005293"/>
            <w:u w:val="single"/>
          </w:rPr>
          <w:t>, 1974</w:t>
        </w:r>
      </w:hyperlink>
      <w:r w:rsidRPr="003C5914">
        <w:rPr>
          <w:rFonts w:ascii="Times New Roman" w:eastAsia="Times New Roman" w:hAnsi="Times New Roman" w:cs="Times New Roman"/>
          <w:color w:val="1C1D1E"/>
        </w:rPr>
        <w:t>]. Wetwood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production has not been quantified for its contribution to global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emissions [</w:t>
      </w:r>
      <w:hyperlink r:id="rId52" w:anchor="grl29360-bib-0014" w:history="1">
        <w:r w:rsidRPr="003C5914">
          <w:rPr>
            <w:rFonts w:ascii="Times New Roman" w:eastAsia="Times New Roman" w:hAnsi="Times New Roman" w:cs="Times New Roman"/>
            <w:b/>
            <w:bCs/>
            <w:i/>
            <w:iCs/>
            <w:color w:val="005293"/>
            <w:u w:val="single"/>
          </w:rPr>
          <w:t>Conrad</w:t>
        </w:r>
        <w:r w:rsidRPr="003C5914">
          <w:rPr>
            <w:rFonts w:ascii="Times New Roman" w:eastAsia="Times New Roman" w:hAnsi="Times New Roman" w:cs="Times New Roman"/>
            <w:b/>
            <w:bCs/>
            <w:color w:val="005293"/>
            <w:u w:val="single"/>
          </w:rPr>
          <w:t>, 2009</w:t>
        </w:r>
      </w:hyperlink>
      <w:r w:rsidRPr="003C5914">
        <w:rPr>
          <w:rFonts w:ascii="Times New Roman" w:eastAsia="Times New Roman" w:hAnsi="Times New Roman" w:cs="Times New Roman"/>
          <w:color w:val="1C1D1E"/>
        </w:rPr>
        <w:t>]. Similarly, neither have contributions from heart rot – the decay of heartwood instead caused by fungal infection [</w:t>
      </w:r>
      <w:hyperlink r:id="rId53" w:anchor="grl29360-bib-0008" w:history="1">
        <w:r w:rsidRPr="003C5914">
          <w:rPr>
            <w:rFonts w:ascii="Times New Roman" w:eastAsia="Times New Roman" w:hAnsi="Times New Roman" w:cs="Times New Roman"/>
            <w:b/>
            <w:bCs/>
            <w:i/>
            <w:iCs/>
            <w:color w:val="005293"/>
            <w:u w:val="single"/>
          </w:rPr>
          <w:t>Boyce</w:t>
        </w:r>
        <w:r w:rsidRPr="003C5914">
          <w:rPr>
            <w:rFonts w:ascii="Times New Roman" w:eastAsia="Times New Roman" w:hAnsi="Times New Roman" w:cs="Times New Roman"/>
            <w:b/>
            <w:bCs/>
            <w:color w:val="005293"/>
            <w:u w:val="single"/>
          </w:rPr>
          <w:t>, 1961</w:t>
        </w:r>
      </w:hyperlink>
      <w:r w:rsidRPr="003C5914">
        <w:rPr>
          <w:rFonts w:ascii="Times New Roman" w:eastAsia="Times New Roman" w:hAnsi="Times New Roman" w:cs="Times New Roman"/>
          <w:color w:val="1C1D1E"/>
        </w:rPr>
        <w:t xml:space="preserve">] – which also promotes anaerobic decay and colonization by methanogens, but is much more prevalent in living trees. Indeed, in temperate forests </w:t>
      </w:r>
      <w:r w:rsidRPr="003C5914">
        <w:rPr>
          <w:rFonts w:ascii="Cambria Math" w:eastAsia="Times New Roman" w:hAnsi="Cambria Math" w:cs="Cambria Math"/>
          <w:color w:val="1C1D1E"/>
        </w:rPr>
        <w:t>∼</w:t>
      </w:r>
      <w:r w:rsidRPr="003C5914">
        <w:rPr>
          <w:rFonts w:ascii="Times New Roman" w:eastAsia="Times New Roman" w:hAnsi="Times New Roman" w:cs="Times New Roman"/>
          <w:color w:val="1C1D1E"/>
        </w:rPr>
        <w:t>20% of the commercial timber harvest, for genera such as oaks and maples, is lost to fungal decay [</w:t>
      </w:r>
      <w:hyperlink r:id="rId54" w:anchor="grl29360-bib-0059" w:history="1">
        <w:r w:rsidRPr="003C5914">
          <w:rPr>
            <w:rFonts w:ascii="Times New Roman" w:eastAsia="Times New Roman" w:hAnsi="Times New Roman" w:cs="Times New Roman"/>
            <w:b/>
            <w:bCs/>
            <w:i/>
            <w:iCs/>
            <w:color w:val="005293"/>
            <w:u w:val="single"/>
          </w:rPr>
          <w:t>Wagener and Davidson</w:t>
        </w:r>
        <w:r w:rsidRPr="003C5914">
          <w:rPr>
            <w:rFonts w:ascii="Times New Roman" w:eastAsia="Times New Roman" w:hAnsi="Times New Roman" w:cs="Times New Roman"/>
            <w:b/>
            <w:bCs/>
            <w:color w:val="005293"/>
            <w:u w:val="single"/>
          </w:rPr>
          <w:t>, 1954</w:t>
        </w:r>
      </w:hyperlink>
      <w:r w:rsidRPr="003C5914">
        <w:rPr>
          <w:rFonts w:ascii="Times New Roman" w:eastAsia="Times New Roman" w:hAnsi="Times New Roman" w:cs="Times New Roman"/>
          <w:color w:val="1C1D1E"/>
        </w:rPr>
        <w:t>]. Notably, symptoms of heart rot are often not outwardly visible for standing trees [</w:t>
      </w:r>
      <w:hyperlink r:id="rId55" w:anchor="grl29360-bib-0064" w:history="1">
        <w:r w:rsidRPr="003C5914">
          <w:rPr>
            <w:rFonts w:ascii="Times New Roman" w:eastAsia="Times New Roman" w:hAnsi="Times New Roman" w:cs="Times New Roman"/>
            <w:b/>
            <w:bCs/>
            <w:i/>
            <w:iCs/>
            <w:color w:val="005293"/>
            <w:u w:val="single"/>
          </w:rPr>
          <w:t>Zillgitt and Gevorkiantz</w:t>
        </w:r>
        <w:r w:rsidRPr="003C5914">
          <w:rPr>
            <w:rFonts w:ascii="Times New Roman" w:eastAsia="Times New Roman" w:hAnsi="Times New Roman" w:cs="Times New Roman"/>
            <w:b/>
            <w:bCs/>
            <w:color w:val="005293"/>
            <w:u w:val="single"/>
          </w:rPr>
          <w:t>, 1948</w:t>
        </w:r>
      </w:hyperlink>
      <w:r w:rsidRPr="003C5914">
        <w:rPr>
          <w:rFonts w:ascii="Times New Roman" w:eastAsia="Times New Roman" w:hAnsi="Times New Roman" w:cs="Times New Roman"/>
          <w:color w:val="1C1D1E"/>
        </w:rPr>
        <w:t>] and anaerobes can be active before decay is measurable [</w:t>
      </w:r>
      <w:hyperlink r:id="rId56" w:anchor="grl29360-bib-0053" w:history="1">
        <w:r w:rsidRPr="003C5914">
          <w:rPr>
            <w:rFonts w:ascii="Times New Roman" w:eastAsia="Times New Roman" w:hAnsi="Times New Roman" w:cs="Times New Roman"/>
            <w:b/>
            <w:bCs/>
            <w:i/>
            <w:iCs/>
            <w:color w:val="005293"/>
            <w:u w:val="single"/>
          </w:rPr>
          <w:t>Shortle et al.</w:t>
        </w:r>
        <w:r w:rsidRPr="003C5914">
          <w:rPr>
            <w:rFonts w:ascii="Times New Roman" w:eastAsia="Times New Roman" w:hAnsi="Times New Roman" w:cs="Times New Roman"/>
            <w:b/>
            <w:bCs/>
            <w:color w:val="005293"/>
            <w:u w:val="single"/>
          </w:rPr>
          <w:t>, 1978</w:t>
        </w:r>
      </w:hyperlink>
      <w:r w:rsidRPr="003C5914">
        <w:rPr>
          <w:rFonts w:ascii="Times New Roman" w:eastAsia="Times New Roman" w:hAnsi="Times New Roman" w:cs="Times New Roman"/>
          <w:color w:val="1C1D1E"/>
        </w:rPr>
        <w:t>; </w:t>
      </w:r>
      <w:hyperlink r:id="rId57" w:anchor="grl29360-bib-0060" w:history="1">
        <w:r w:rsidRPr="003C5914">
          <w:rPr>
            <w:rFonts w:ascii="Times New Roman" w:eastAsia="Times New Roman" w:hAnsi="Times New Roman" w:cs="Times New Roman"/>
            <w:b/>
            <w:bCs/>
            <w:i/>
            <w:iCs/>
            <w:color w:val="005293"/>
            <w:u w:val="single"/>
          </w:rPr>
          <w:t>Wilcox</w:t>
        </w:r>
        <w:r w:rsidRPr="003C5914">
          <w:rPr>
            <w:rFonts w:ascii="Times New Roman" w:eastAsia="Times New Roman" w:hAnsi="Times New Roman" w:cs="Times New Roman"/>
            <w:b/>
            <w:bCs/>
            <w:color w:val="005293"/>
            <w:u w:val="single"/>
          </w:rPr>
          <w:t>, 1970</w:t>
        </w:r>
      </w:hyperlink>
      <w:r w:rsidRPr="003C5914">
        <w:rPr>
          <w:rFonts w:ascii="Times New Roman" w:eastAsia="Times New Roman" w:hAnsi="Times New Roman" w:cs="Times New Roman"/>
          <w:color w:val="1C1D1E"/>
        </w:rPr>
        <w:t>].</w:t>
      </w:r>
    </w:p>
    <w:p w14:paraId="0840B945" w14:textId="77777777" w:rsidR="004E6167" w:rsidRPr="003C5914" w:rsidRDefault="004E6167" w:rsidP="003C5914">
      <w:pPr>
        <w:shd w:val="clear" w:color="auto" w:fill="FFFFFF"/>
        <w:rPr>
          <w:rFonts w:ascii="Times New Roman" w:eastAsia="Times New Roman" w:hAnsi="Times New Roman" w:cs="Times New Roman"/>
          <w:color w:val="1C1D1E"/>
        </w:rPr>
      </w:pPr>
      <w:r w:rsidRPr="003C5914">
        <w:rPr>
          <w:rFonts w:ascii="Times New Roman" w:eastAsia="Times New Roman" w:hAnsi="Times New Roman" w:cs="Times New Roman"/>
          <w:color w:val="1C1D1E"/>
        </w:rPr>
        <w:t>[5] In low O</w:t>
      </w:r>
      <w:r w:rsidRPr="003C5914">
        <w:rPr>
          <w:rFonts w:ascii="Times New Roman" w:eastAsia="Times New Roman" w:hAnsi="Times New Roman" w:cs="Times New Roman"/>
          <w:color w:val="1C1D1E"/>
          <w:vertAlign w:val="subscript"/>
        </w:rPr>
        <w:t>2</w:t>
      </w:r>
      <w:r w:rsidRPr="003C5914">
        <w:rPr>
          <w:rFonts w:ascii="Times New Roman" w:eastAsia="Times New Roman" w:hAnsi="Times New Roman" w:cs="Times New Roman"/>
          <w:color w:val="1C1D1E"/>
        </w:rPr>
        <w:t> and high CO</w:t>
      </w:r>
      <w:r w:rsidRPr="003C5914">
        <w:rPr>
          <w:rFonts w:ascii="Times New Roman" w:eastAsia="Times New Roman" w:hAnsi="Times New Roman" w:cs="Times New Roman"/>
          <w:color w:val="1C1D1E"/>
          <w:vertAlign w:val="subscript"/>
        </w:rPr>
        <w:t>2</w:t>
      </w:r>
      <w:r w:rsidRPr="003C5914">
        <w:rPr>
          <w:rFonts w:ascii="Times New Roman" w:eastAsia="Times New Roman" w:hAnsi="Times New Roman" w:cs="Times New Roman"/>
          <w:color w:val="1C1D1E"/>
        </w:rPr>
        <w:t> environments, such as those in tree trunks [</w:t>
      </w:r>
      <w:hyperlink r:id="rId58" w:anchor="grl29360-bib-0057" w:history="1">
        <w:r w:rsidRPr="003C5914">
          <w:rPr>
            <w:rFonts w:ascii="Times New Roman" w:eastAsia="Times New Roman" w:hAnsi="Times New Roman" w:cs="Times New Roman"/>
            <w:b/>
            <w:bCs/>
            <w:i/>
            <w:iCs/>
            <w:color w:val="005293"/>
            <w:u w:val="single"/>
          </w:rPr>
          <w:t>Teskey et al.</w:t>
        </w:r>
        <w:r w:rsidRPr="003C5914">
          <w:rPr>
            <w:rFonts w:ascii="Times New Roman" w:eastAsia="Times New Roman" w:hAnsi="Times New Roman" w:cs="Times New Roman"/>
            <w:b/>
            <w:bCs/>
            <w:color w:val="005293"/>
            <w:u w:val="single"/>
          </w:rPr>
          <w:t>, 2008</w:t>
        </w:r>
      </w:hyperlink>
      <w:r w:rsidRPr="003C5914">
        <w:rPr>
          <w:rFonts w:ascii="Times New Roman" w:eastAsia="Times New Roman" w:hAnsi="Times New Roman" w:cs="Times New Roman"/>
          <w:color w:val="1C1D1E"/>
        </w:rPr>
        <w:t>], aerobic heart‐rot fungi are incapable of completing their metabolic processes [</w:t>
      </w:r>
      <w:hyperlink r:id="rId59" w:anchor="grl29360-bib-0026" w:history="1">
        <w:r w:rsidRPr="003C5914">
          <w:rPr>
            <w:rFonts w:ascii="Times New Roman" w:eastAsia="Times New Roman" w:hAnsi="Times New Roman" w:cs="Times New Roman"/>
            <w:b/>
            <w:bCs/>
            <w:i/>
            <w:iCs/>
            <w:color w:val="005293"/>
            <w:u w:val="single"/>
          </w:rPr>
          <w:t>Jensen</w:t>
        </w:r>
        <w:r w:rsidRPr="003C5914">
          <w:rPr>
            <w:rFonts w:ascii="Times New Roman" w:eastAsia="Times New Roman" w:hAnsi="Times New Roman" w:cs="Times New Roman"/>
            <w:b/>
            <w:bCs/>
            <w:color w:val="005293"/>
            <w:u w:val="single"/>
          </w:rPr>
          <w:t>, 1967</w:t>
        </w:r>
      </w:hyperlink>
      <w:r w:rsidRPr="003C5914">
        <w:rPr>
          <w:rFonts w:ascii="Times New Roman" w:eastAsia="Times New Roman" w:hAnsi="Times New Roman" w:cs="Times New Roman"/>
          <w:color w:val="1C1D1E"/>
        </w:rPr>
        <w:t>; </w:t>
      </w:r>
      <w:hyperlink r:id="rId60" w:anchor="grl29360-bib-0050" w:history="1">
        <w:r w:rsidRPr="003C5914">
          <w:rPr>
            <w:rFonts w:ascii="Times New Roman" w:eastAsia="Times New Roman" w:hAnsi="Times New Roman" w:cs="Times New Roman"/>
            <w:b/>
            <w:bCs/>
            <w:i/>
            <w:iCs/>
            <w:color w:val="005293"/>
            <w:u w:val="single"/>
          </w:rPr>
          <w:t>Schmidt</w:t>
        </w:r>
        <w:r w:rsidRPr="003C5914">
          <w:rPr>
            <w:rFonts w:ascii="Times New Roman" w:eastAsia="Times New Roman" w:hAnsi="Times New Roman" w:cs="Times New Roman"/>
            <w:b/>
            <w:bCs/>
            <w:color w:val="005293"/>
            <w:u w:val="single"/>
          </w:rPr>
          <w:t>, 2006</w:t>
        </w:r>
      </w:hyperlink>
      <w:r w:rsidRPr="003C5914">
        <w:rPr>
          <w:rFonts w:ascii="Times New Roman" w:eastAsia="Times New Roman" w:hAnsi="Times New Roman" w:cs="Times New Roman"/>
          <w:color w:val="1C1D1E"/>
        </w:rPr>
        <w:t>]. This incomplete fermentation provides substrates suitable for use by bacteria and archaea. In turn, these bacteria and archaea accelerate fungal growth by removing the waste products of fungal metabolism and by enriching the wood substrate through N‐fixation [</w:t>
      </w:r>
      <w:hyperlink r:id="rId61" w:anchor="grl29360-bib-0005" w:history="1">
        <w:r w:rsidRPr="003C5914">
          <w:rPr>
            <w:rFonts w:ascii="Times New Roman" w:eastAsia="Times New Roman" w:hAnsi="Times New Roman" w:cs="Times New Roman"/>
            <w:b/>
            <w:bCs/>
            <w:i/>
            <w:iCs/>
            <w:color w:val="005293"/>
            <w:u w:val="single"/>
          </w:rPr>
          <w:t>Beckmann et al.</w:t>
        </w:r>
        <w:r w:rsidRPr="003C5914">
          <w:rPr>
            <w:rFonts w:ascii="Times New Roman" w:eastAsia="Times New Roman" w:hAnsi="Times New Roman" w:cs="Times New Roman"/>
            <w:b/>
            <w:bCs/>
            <w:color w:val="005293"/>
            <w:u w:val="single"/>
          </w:rPr>
          <w:t>, 2011</w:t>
        </w:r>
      </w:hyperlink>
      <w:r w:rsidRPr="003C5914">
        <w:rPr>
          <w:rFonts w:ascii="Times New Roman" w:eastAsia="Times New Roman" w:hAnsi="Times New Roman" w:cs="Times New Roman"/>
          <w:color w:val="1C1D1E"/>
        </w:rPr>
        <w:t>]. These syntrophic (i.e. “feeding together”) consortia are capable of breaking down complex biopolymers that individual organisms cannot digest [</w:t>
      </w:r>
      <w:hyperlink r:id="rId62" w:anchor="grl29360-bib-0012" w:history="1">
        <w:r w:rsidRPr="003C5914">
          <w:rPr>
            <w:rFonts w:ascii="Times New Roman" w:eastAsia="Times New Roman" w:hAnsi="Times New Roman" w:cs="Times New Roman"/>
            <w:b/>
            <w:bCs/>
            <w:i/>
            <w:iCs/>
            <w:color w:val="005293"/>
            <w:u w:val="single"/>
          </w:rPr>
          <w:t>Bryant et al.</w:t>
        </w:r>
        <w:r w:rsidRPr="003C5914">
          <w:rPr>
            <w:rFonts w:ascii="Times New Roman" w:eastAsia="Times New Roman" w:hAnsi="Times New Roman" w:cs="Times New Roman"/>
            <w:b/>
            <w:bCs/>
            <w:color w:val="005293"/>
            <w:u w:val="single"/>
          </w:rPr>
          <w:t>, 1967</w:t>
        </w:r>
      </w:hyperlink>
      <w:r w:rsidRPr="003C5914">
        <w:rPr>
          <w:rFonts w:ascii="Times New Roman" w:eastAsia="Times New Roman" w:hAnsi="Times New Roman" w:cs="Times New Roman"/>
          <w:color w:val="1C1D1E"/>
        </w:rPr>
        <w:t>]. Such consortia are known to degrade wood and produce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in ruminant animals [</w:t>
      </w:r>
      <w:hyperlink r:id="rId63" w:anchor="grl29360-bib-0004" w:history="1">
        <w:r w:rsidRPr="003C5914">
          <w:rPr>
            <w:rFonts w:ascii="Times New Roman" w:eastAsia="Times New Roman" w:hAnsi="Times New Roman" w:cs="Times New Roman"/>
            <w:b/>
            <w:bCs/>
            <w:i/>
            <w:iCs/>
            <w:color w:val="005293"/>
            <w:u w:val="single"/>
          </w:rPr>
          <w:t>Bauchop</w:t>
        </w:r>
        <w:r w:rsidRPr="003C5914">
          <w:rPr>
            <w:rFonts w:ascii="Times New Roman" w:eastAsia="Times New Roman" w:hAnsi="Times New Roman" w:cs="Times New Roman"/>
            <w:b/>
            <w:bCs/>
            <w:color w:val="005293"/>
            <w:u w:val="single"/>
          </w:rPr>
          <w:t>, 1981</w:t>
        </w:r>
      </w:hyperlink>
      <w:r w:rsidRPr="003C5914">
        <w:rPr>
          <w:rFonts w:ascii="Times New Roman" w:eastAsia="Times New Roman" w:hAnsi="Times New Roman" w:cs="Times New Roman"/>
          <w:color w:val="1C1D1E"/>
        </w:rPr>
        <w:t>; </w:t>
      </w:r>
      <w:hyperlink r:id="rId64" w:anchor="grl29360-bib-0027" w:history="1">
        <w:r w:rsidRPr="003C5914">
          <w:rPr>
            <w:rFonts w:ascii="Times New Roman" w:eastAsia="Times New Roman" w:hAnsi="Times New Roman" w:cs="Times New Roman"/>
            <w:b/>
            <w:bCs/>
            <w:i/>
            <w:iCs/>
            <w:color w:val="005293"/>
            <w:u w:val="single"/>
          </w:rPr>
          <w:t>Joblin and Naylor</w:t>
        </w:r>
        <w:r w:rsidRPr="003C5914">
          <w:rPr>
            <w:rFonts w:ascii="Times New Roman" w:eastAsia="Times New Roman" w:hAnsi="Times New Roman" w:cs="Times New Roman"/>
            <w:b/>
            <w:bCs/>
            <w:color w:val="005293"/>
            <w:u w:val="single"/>
          </w:rPr>
          <w:t>, 1989</w:t>
        </w:r>
      </w:hyperlink>
      <w:r w:rsidRPr="003C5914">
        <w:rPr>
          <w:rFonts w:ascii="Times New Roman" w:eastAsia="Times New Roman" w:hAnsi="Times New Roman" w:cs="Times New Roman"/>
          <w:color w:val="1C1D1E"/>
        </w:rPr>
        <w:t>], in digesters [</w:t>
      </w:r>
      <w:hyperlink r:id="rId65" w:anchor="grl29360-bib-0065" w:history="1">
        <w:r w:rsidRPr="003C5914">
          <w:rPr>
            <w:rFonts w:ascii="Times New Roman" w:eastAsia="Times New Roman" w:hAnsi="Times New Roman" w:cs="Times New Roman"/>
            <w:b/>
            <w:bCs/>
            <w:i/>
            <w:iCs/>
            <w:color w:val="005293"/>
            <w:u w:val="single"/>
          </w:rPr>
          <w:t>Zinder</w:t>
        </w:r>
        <w:r w:rsidRPr="003C5914">
          <w:rPr>
            <w:rFonts w:ascii="Times New Roman" w:eastAsia="Times New Roman" w:hAnsi="Times New Roman" w:cs="Times New Roman"/>
            <w:b/>
            <w:bCs/>
            <w:color w:val="005293"/>
            <w:u w:val="single"/>
          </w:rPr>
          <w:t>, 1993</w:t>
        </w:r>
      </w:hyperlink>
      <w:r w:rsidRPr="003C5914">
        <w:rPr>
          <w:rFonts w:ascii="Times New Roman" w:eastAsia="Times New Roman" w:hAnsi="Times New Roman" w:cs="Times New Roman"/>
          <w:color w:val="1C1D1E"/>
        </w:rPr>
        <w:t xml:space="preserve">] and in timbers stored </w:t>
      </w:r>
      <w:r w:rsidRPr="003C5914">
        <w:rPr>
          <w:rFonts w:ascii="Times New Roman" w:eastAsia="Times New Roman" w:hAnsi="Times New Roman" w:cs="Times New Roman"/>
          <w:color w:val="1C1D1E"/>
        </w:rPr>
        <w:lastRenderedPageBreak/>
        <w:t>under conditions similar to those found inside living trees [</w:t>
      </w:r>
      <w:hyperlink r:id="rId66" w:anchor="grl29360-bib-0005" w:history="1">
        <w:r w:rsidRPr="003C5914">
          <w:rPr>
            <w:rFonts w:ascii="Times New Roman" w:eastAsia="Times New Roman" w:hAnsi="Times New Roman" w:cs="Times New Roman"/>
            <w:b/>
            <w:bCs/>
            <w:i/>
            <w:iCs/>
            <w:color w:val="005293"/>
            <w:u w:val="single"/>
          </w:rPr>
          <w:t>Beckmann et al.</w:t>
        </w:r>
        <w:r w:rsidRPr="003C5914">
          <w:rPr>
            <w:rFonts w:ascii="Times New Roman" w:eastAsia="Times New Roman" w:hAnsi="Times New Roman" w:cs="Times New Roman"/>
            <w:b/>
            <w:bCs/>
            <w:color w:val="005293"/>
            <w:u w:val="single"/>
          </w:rPr>
          <w:t>, 2011</w:t>
        </w:r>
      </w:hyperlink>
      <w:r w:rsidRPr="003C5914">
        <w:rPr>
          <w:rFonts w:ascii="Times New Roman" w:eastAsia="Times New Roman" w:hAnsi="Times New Roman" w:cs="Times New Roman"/>
          <w:color w:val="1C1D1E"/>
        </w:rPr>
        <w:t>; </w:t>
      </w:r>
      <w:hyperlink r:id="rId67" w:anchor="grl29360-bib-0034" w:history="1">
        <w:r w:rsidRPr="003C5914">
          <w:rPr>
            <w:rFonts w:ascii="Times New Roman" w:eastAsia="Times New Roman" w:hAnsi="Times New Roman" w:cs="Times New Roman"/>
            <w:b/>
            <w:bCs/>
            <w:i/>
            <w:iCs/>
            <w:color w:val="005293"/>
            <w:u w:val="single"/>
          </w:rPr>
          <w:t>Krüger et al.</w:t>
        </w:r>
        <w:r w:rsidRPr="003C5914">
          <w:rPr>
            <w:rFonts w:ascii="Times New Roman" w:eastAsia="Times New Roman" w:hAnsi="Times New Roman" w:cs="Times New Roman"/>
            <w:b/>
            <w:bCs/>
            <w:color w:val="005293"/>
            <w:u w:val="single"/>
          </w:rPr>
          <w:t>, 2008</w:t>
        </w:r>
      </w:hyperlink>
      <w:r w:rsidRPr="003C5914">
        <w:rPr>
          <w:rFonts w:ascii="Times New Roman" w:eastAsia="Times New Roman" w:hAnsi="Times New Roman" w:cs="Times New Roman"/>
          <w:color w:val="1C1D1E"/>
        </w:rPr>
        <w:t>]. Even in predominately aerobic environments, fungal metabolism can lead to anaerobic microsites and the formation of large quantities of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by archaea [</w:t>
      </w:r>
      <w:hyperlink r:id="rId68" w:anchor="grl29360-bib-0045" w:history="1">
        <w:r w:rsidRPr="003C5914">
          <w:rPr>
            <w:rFonts w:ascii="Times New Roman" w:eastAsia="Times New Roman" w:hAnsi="Times New Roman" w:cs="Times New Roman"/>
            <w:b/>
            <w:bCs/>
            <w:i/>
            <w:iCs/>
            <w:color w:val="005293"/>
            <w:u w:val="single"/>
          </w:rPr>
          <w:t>Reith et al.</w:t>
        </w:r>
        <w:r w:rsidRPr="003C5914">
          <w:rPr>
            <w:rFonts w:ascii="Times New Roman" w:eastAsia="Times New Roman" w:hAnsi="Times New Roman" w:cs="Times New Roman"/>
            <w:b/>
            <w:bCs/>
            <w:color w:val="005293"/>
            <w:u w:val="single"/>
          </w:rPr>
          <w:t>, 2002</w:t>
        </w:r>
      </w:hyperlink>
      <w:r w:rsidRPr="003C5914">
        <w:rPr>
          <w:rFonts w:ascii="Times New Roman" w:eastAsia="Times New Roman" w:hAnsi="Times New Roman" w:cs="Times New Roman"/>
          <w:color w:val="1C1D1E"/>
        </w:rPr>
        <w:t>].</w:t>
      </w:r>
    </w:p>
    <w:p w14:paraId="361047C9" w14:textId="77777777" w:rsidR="004E6167" w:rsidRPr="003C5914" w:rsidRDefault="004E6167" w:rsidP="003C5914">
      <w:pPr>
        <w:shd w:val="clear" w:color="auto" w:fill="FFFFFF"/>
        <w:rPr>
          <w:rFonts w:ascii="Times New Roman" w:eastAsia="Times New Roman" w:hAnsi="Times New Roman" w:cs="Times New Roman"/>
          <w:color w:val="1C1D1E"/>
        </w:rPr>
      </w:pPr>
      <w:r w:rsidRPr="003C5914">
        <w:rPr>
          <w:rFonts w:ascii="Times New Roman" w:eastAsia="Times New Roman" w:hAnsi="Times New Roman" w:cs="Times New Roman"/>
          <w:color w:val="1C1D1E"/>
        </w:rPr>
        <w:t>[6] Given the expectation of widespread and abundant fungal infection of living wood, we selected individuals in lowland and upland habitat of six trees species that vary in their vulnerability to heart rot [</w:t>
      </w:r>
      <w:hyperlink r:id="rId69" w:anchor="grl29360-bib-0048" w:history="1">
        <w:r w:rsidRPr="003C5914">
          <w:rPr>
            <w:rFonts w:ascii="Times New Roman" w:eastAsia="Times New Roman" w:hAnsi="Times New Roman" w:cs="Times New Roman"/>
            <w:b/>
            <w:bCs/>
            <w:i/>
            <w:iCs/>
            <w:color w:val="005293"/>
            <w:u w:val="single"/>
          </w:rPr>
          <w:t>Scheffer</w:t>
        </w:r>
        <w:r w:rsidRPr="003C5914">
          <w:rPr>
            <w:rFonts w:ascii="Times New Roman" w:eastAsia="Times New Roman" w:hAnsi="Times New Roman" w:cs="Times New Roman"/>
            <w:b/>
            <w:bCs/>
            <w:color w:val="005293"/>
            <w:u w:val="single"/>
          </w:rPr>
          <w:t>, 1966</w:t>
        </w:r>
      </w:hyperlink>
      <w:r w:rsidRPr="003C5914">
        <w:rPr>
          <w:rFonts w:ascii="Times New Roman" w:eastAsia="Times New Roman" w:hAnsi="Times New Roman" w:cs="Times New Roman"/>
          <w:color w:val="1C1D1E"/>
        </w:rPr>
        <w:t>] and that commonly occur in temperate forest. We reasoned that if trees primarily serve as conduits of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release from soils to the atmosphere, then we should only observe elevated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concentrations in tree trunks where the soil might be a significant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source (i.e. lowland habitat). A second source in these lowland habitats would be wetwood, which would also yield elevated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concentrations in trees. In contrast, in upland habitat the soil is a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sink and wetwood is rare. We therefore reasoned that elevated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concentrations in tree trunks of species known to be susceptible to fungal‐mediated heart rot would suggest an abundant and widespread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production source in living trees. Using trunk‐gas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concentrations, and lab‐based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production potentials from wood samples, we provide estimates of emissions from living trees of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produced by the microbial consortia that occur with heart rot.</w:t>
      </w:r>
    </w:p>
    <w:p w14:paraId="299EBAF2" w14:textId="77777777" w:rsidR="004E6167" w:rsidRPr="003C5914" w:rsidRDefault="004E6167" w:rsidP="003C5914">
      <w:pPr>
        <w:shd w:val="clear" w:color="auto" w:fill="FFFFFF"/>
        <w:outlineLvl w:val="1"/>
        <w:rPr>
          <w:rFonts w:ascii="Times New Roman" w:eastAsia="Times New Roman" w:hAnsi="Times New Roman" w:cs="Times New Roman"/>
          <w:b/>
          <w:bCs/>
          <w:color w:val="00A185"/>
        </w:rPr>
      </w:pPr>
      <w:r w:rsidRPr="003C5914">
        <w:rPr>
          <w:rFonts w:ascii="Times New Roman" w:eastAsia="Times New Roman" w:hAnsi="Times New Roman" w:cs="Times New Roman"/>
          <w:b/>
          <w:bCs/>
          <w:color w:val="00A185"/>
        </w:rPr>
        <w:t>2. Methods</w:t>
      </w:r>
    </w:p>
    <w:p w14:paraId="49768FFC" w14:textId="77777777" w:rsidR="004E6167" w:rsidRPr="003C5914" w:rsidRDefault="004E6167" w:rsidP="003C5914">
      <w:pPr>
        <w:shd w:val="clear" w:color="auto" w:fill="FFFFFF"/>
        <w:outlineLvl w:val="2"/>
        <w:rPr>
          <w:rFonts w:ascii="Times New Roman" w:eastAsia="Times New Roman" w:hAnsi="Times New Roman" w:cs="Times New Roman"/>
          <w:color w:val="1F1F1F"/>
        </w:rPr>
      </w:pPr>
      <w:r w:rsidRPr="003C5914">
        <w:rPr>
          <w:rFonts w:ascii="Times New Roman" w:eastAsia="Times New Roman" w:hAnsi="Times New Roman" w:cs="Times New Roman"/>
          <w:color w:val="1F1F1F"/>
        </w:rPr>
        <w:t>2.1. Field and Laboratory Measurements</w:t>
      </w:r>
    </w:p>
    <w:p w14:paraId="647E879E" w14:textId="77777777" w:rsidR="004E6167" w:rsidRPr="003C5914" w:rsidRDefault="004E6167" w:rsidP="003C5914">
      <w:pPr>
        <w:shd w:val="clear" w:color="auto" w:fill="FFFFFF"/>
        <w:rPr>
          <w:rFonts w:ascii="Times New Roman" w:eastAsia="Times New Roman" w:hAnsi="Times New Roman" w:cs="Times New Roman"/>
          <w:color w:val="1C1D1E"/>
        </w:rPr>
      </w:pPr>
      <w:r w:rsidRPr="003C5914">
        <w:rPr>
          <w:rFonts w:ascii="Times New Roman" w:eastAsia="Times New Roman" w:hAnsi="Times New Roman" w:cs="Times New Roman"/>
          <w:color w:val="1C1D1E"/>
        </w:rPr>
        <w:t>[7] Because decay is more likely to be found in larger and older trees [</w:t>
      </w:r>
      <w:hyperlink r:id="rId70" w:anchor="grl29360-bib-0006" w:history="1">
        <w:r w:rsidRPr="003C5914">
          <w:rPr>
            <w:rFonts w:ascii="Times New Roman" w:eastAsia="Times New Roman" w:hAnsi="Times New Roman" w:cs="Times New Roman"/>
            <w:b/>
            <w:bCs/>
            <w:i/>
            <w:iCs/>
            <w:color w:val="005293"/>
            <w:u w:val="single"/>
          </w:rPr>
          <w:t>Berry and Beaton</w:t>
        </w:r>
        <w:r w:rsidRPr="003C5914">
          <w:rPr>
            <w:rFonts w:ascii="Times New Roman" w:eastAsia="Times New Roman" w:hAnsi="Times New Roman" w:cs="Times New Roman"/>
            <w:b/>
            <w:bCs/>
            <w:color w:val="005293"/>
            <w:u w:val="single"/>
          </w:rPr>
          <w:t>, 1972</w:t>
        </w:r>
      </w:hyperlink>
      <w:r w:rsidRPr="003C5914">
        <w:rPr>
          <w:rFonts w:ascii="Times New Roman" w:eastAsia="Times New Roman" w:hAnsi="Times New Roman" w:cs="Times New Roman"/>
          <w:color w:val="1C1D1E"/>
        </w:rPr>
        <w:t>; </w:t>
      </w:r>
      <w:hyperlink r:id="rId71" w:anchor="grl29360-bib-0010" w:history="1">
        <w:r w:rsidRPr="003C5914">
          <w:rPr>
            <w:rFonts w:ascii="Times New Roman" w:eastAsia="Times New Roman" w:hAnsi="Times New Roman" w:cs="Times New Roman"/>
            <w:b/>
            <w:bCs/>
            <w:i/>
            <w:iCs/>
            <w:color w:val="005293"/>
            <w:u w:val="single"/>
          </w:rPr>
          <w:t>Browne</w:t>
        </w:r>
        <w:r w:rsidRPr="003C5914">
          <w:rPr>
            <w:rFonts w:ascii="Times New Roman" w:eastAsia="Times New Roman" w:hAnsi="Times New Roman" w:cs="Times New Roman"/>
            <w:b/>
            <w:bCs/>
            <w:color w:val="005293"/>
            <w:u w:val="single"/>
          </w:rPr>
          <w:t>, 1956</w:t>
        </w:r>
      </w:hyperlink>
      <w:r w:rsidRPr="003C5914">
        <w:rPr>
          <w:rFonts w:ascii="Times New Roman" w:eastAsia="Times New Roman" w:hAnsi="Times New Roman" w:cs="Times New Roman"/>
          <w:color w:val="1C1D1E"/>
        </w:rPr>
        <w:t>; </w:t>
      </w:r>
      <w:hyperlink r:id="rId72" w:anchor="grl29360-bib-0064" w:history="1">
        <w:r w:rsidRPr="003C5914">
          <w:rPr>
            <w:rFonts w:ascii="Times New Roman" w:eastAsia="Times New Roman" w:hAnsi="Times New Roman" w:cs="Times New Roman"/>
            <w:b/>
            <w:bCs/>
            <w:i/>
            <w:iCs/>
            <w:color w:val="005293"/>
            <w:u w:val="single"/>
          </w:rPr>
          <w:t>Zillgitt and Gevorkiantz</w:t>
        </w:r>
        <w:r w:rsidRPr="003C5914">
          <w:rPr>
            <w:rFonts w:ascii="Times New Roman" w:eastAsia="Times New Roman" w:hAnsi="Times New Roman" w:cs="Times New Roman"/>
            <w:b/>
            <w:bCs/>
            <w:color w:val="005293"/>
            <w:u w:val="single"/>
          </w:rPr>
          <w:t>, 1948</w:t>
        </w:r>
      </w:hyperlink>
      <w:r w:rsidRPr="003C5914">
        <w:rPr>
          <w:rFonts w:ascii="Times New Roman" w:eastAsia="Times New Roman" w:hAnsi="Times New Roman" w:cs="Times New Roman"/>
          <w:color w:val="1C1D1E"/>
        </w:rPr>
        <w:t>], we selected 58 trees with diameters at breast height (dbh; 1.3 m) &gt;25 cm (indicative in our region of mature, canopy trees in middle‐aged stands). Trees were selected by order‐of‐encounter, stratified across six species (</w:t>
      </w:r>
      <w:hyperlink r:id="rId73" w:anchor="grl29360-tbl-0001" w:tooltip="Link to table" w:history="1">
        <w:r w:rsidRPr="003C5914">
          <w:rPr>
            <w:rFonts w:ascii="Times New Roman" w:eastAsia="Times New Roman" w:hAnsi="Times New Roman" w:cs="Times New Roman"/>
            <w:b/>
            <w:bCs/>
            <w:color w:val="005274"/>
            <w:u w:val="single"/>
          </w:rPr>
          <w:t>Table 1</w:t>
        </w:r>
      </w:hyperlink>
      <w:r w:rsidRPr="003C5914">
        <w:rPr>
          <w:rFonts w:ascii="Times New Roman" w:eastAsia="Times New Roman" w:hAnsi="Times New Roman" w:cs="Times New Roman"/>
          <w:color w:val="1C1D1E"/>
        </w:rPr>
        <w:t>), in lowland and well‐drained upland habitat at Yale‐Myers Forest, Connecticut, USA (Lat. 41°56′15″ Long. −72°10′45″). Stands were of similar age‐class (</w:t>
      </w:r>
      <w:r w:rsidRPr="003C5914">
        <w:rPr>
          <w:rFonts w:ascii="Cambria Math" w:eastAsia="Times New Roman" w:hAnsi="Cambria Math" w:cs="Cambria Math"/>
          <w:color w:val="1C1D1E"/>
        </w:rPr>
        <w:t>∼</w:t>
      </w:r>
      <w:r w:rsidRPr="003C5914">
        <w:rPr>
          <w:rFonts w:ascii="Times New Roman" w:eastAsia="Times New Roman" w:hAnsi="Times New Roman" w:cs="Times New Roman"/>
          <w:color w:val="1C1D1E"/>
        </w:rPr>
        <w:t>80–100 years), and representative of the oak‐dominated hardwood forest type common to the eastern U.S. [</w:t>
      </w:r>
      <w:hyperlink r:id="rId74" w:anchor="grl29360-bib-0037" w:history="1">
        <w:r w:rsidRPr="003C5914">
          <w:rPr>
            <w:rFonts w:ascii="Times New Roman" w:eastAsia="Times New Roman" w:hAnsi="Times New Roman" w:cs="Times New Roman"/>
            <w:b/>
            <w:bCs/>
            <w:i/>
            <w:iCs/>
            <w:color w:val="005293"/>
            <w:u w:val="single"/>
          </w:rPr>
          <w:t>Meyer and Plusnin</w:t>
        </w:r>
        <w:r w:rsidRPr="003C5914">
          <w:rPr>
            <w:rFonts w:ascii="Times New Roman" w:eastAsia="Times New Roman" w:hAnsi="Times New Roman" w:cs="Times New Roman"/>
            <w:b/>
            <w:bCs/>
            <w:color w:val="005293"/>
            <w:u w:val="single"/>
          </w:rPr>
          <w:t>, 1945</w:t>
        </w:r>
      </w:hyperlink>
      <w:r w:rsidRPr="003C5914">
        <w:rPr>
          <w:rFonts w:ascii="Times New Roman" w:eastAsia="Times New Roman" w:hAnsi="Times New Roman" w:cs="Times New Roman"/>
          <w:color w:val="1C1D1E"/>
        </w:rPr>
        <w:t>].</w:t>
      </w:r>
    </w:p>
    <w:p w14:paraId="6525A6C4" w14:textId="77777777" w:rsidR="004E6167" w:rsidRPr="003C5914" w:rsidRDefault="004E6167" w:rsidP="003C5914">
      <w:pPr>
        <w:shd w:val="clear" w:color="auto" w:fill="FFFFFF"/>
        <w:rPr>
          <w:rFonts w:ascii="Times New Roman" w:eastAsia="Times New Roman" w:hAnsi="Times New Roman" w:cs="Times New Roman"/>
          <w:color w:val="1C1D1E"/>
        </w:rPr>
      </w:pPr>
      <w:r w:rsidRPr="003C5914">
        <w:rPr>
          <w:rFonts w:ascii="Times New Roman" w:eastAsia="Times New Roman" w:hAnsi="Times New Roman" w:cs="Times New Roman"/>
          <w:b/>
          <w:bCs/>
          <w:color w:val="1C1D1E"/>
        </w:rPr>
        <w:t>Table 1. </w:t>
      </w:r>
      <w:r w:rsidRPr="003C5914">
        <w:rPr>
          <w:rFonts w:ascii="Times New Roman" w:eastAsia="Times New Roman" w:hAnsi="Times New Roman" w:cs="Times New Roman"/>
          <w:color w:val="1C1D1E"/>
        </w:rPr>
        <w:t>Species‐Level Differences in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Production, Timber Volume and Susceptibility to Fungal Decay</w:t>
      </w:r>
    </w:p>
    <w:tbl>
      <w:tblPr>
        <w:tblW w:w="10350" w:type="dxa"/>
        <w:tblBorders>
          <w:top w:val="single" w:sz="6" w:space="0" w:color="9E9E9E"/>
          <w:left w:val="single" w:sz="6" w:space="0" w:color="9E9E9E"/>
          <w:bottom w:val="single" w:sz="6" w:space="0" w:color="9E9E9E"/>
          <w:right w:val="single" w:sz="6" w:space="0" w:color="9E9E9E"/>
        </w:tblBorders>
        <w:tblCellMar>
          <w:top w:w="15" w:type="dxa"/>
          <w:left w:w="15" w:type="dxa"/>
          <w:bottom w:w="15" w:type="dxa"/>
          <w:right w:w="15" w:type="dxa"/>
        </w:tblCellMar>
        <w:tblLook w:val="04A0" w:firstRow="1" w:lastRow="0" w:firstColumn="1" w:lastColumn="0" w:noHBand="0" w:noVBand="1"/>
      </w:tblPr>
      <w:tblGrid>
        <w:gridCol w:w="1861"/>
        <w:gridCol w:w="1693"/>
        <w:gridCol w:w="2035"/>
        <w:gridCol w:w="1926"/>
        <w:gridCol w:w="1294"/>
        <w:gridCol w:w="1541"/>
      </w:tblGrid>
      <w:tr w:rsidR="004E6167" w:rsidRPr="003C5914" w14:paraId="7F0DEBB5" w14:textId="77777777" w:rsidTr="00182DCE">
        <w:trPr>
          <w:tblHeader/>
        </w:trPr>
        <w:tc>
          <w:tcPr>
            <w:tcW w:w="0" w:type="auto"/>
            <w:tcBorders>
              <w:top w:val="nil"/>
              <w:left w:val="nil"/>
              <w:bottom w:val="nil"/>
              <w:right w:val="nil"/>
            </w:tcBorders>
            <w:shd w:val="clear" w:color="auto" w:fill="EEEEEE"/>
            <w:tcMar>
              <w:top w:w="120" w:type="dxa"/>
              <w:left w:w="120" w:type="dxa"/>
              <w:bottom w:w="120" w:type="dxa"/>
              <w:right w:w="120" w:type="dxa"/>
            </w:tcMar>
            <w:hideMark/>
          </w:tcPr>
          <w:p w14:paraId="707B9C65" w14:textId="77777777" w:rsidR="004E6167" w:rsidRPr="003C5914" w:rsidRDefault="004E6167" w:rsidP="003C5914">
            <w:pPr>
              <w:jc w:val="center"/>
              <w:rPr>
                <w:rFonts w:ascii="Times New Roman" w:eastAsia="Times New Roman" w:hAnsi="Times New Roman" w:cs="Times New Roman"/>
                <w:b/>
                <w:bCs/>
                <w:color w:val="000000"/>
              </w:rPr>
            </w:pPr>
            <w:r w:rsidRPr="003C5914">
              <w:rPr>
                <w:rFonts w:ascii="Times New Roman" w:eastAsia="Times New Roman" w:hAnsi="Times New Roman" w:cs="Times New Roman"/>
                <w:b/>
                <w:bCs/>
                <w:color w:val="000000"/>
              </w:rPr>
              <w:t>Species</w:t>
            </w:r>
          </w:p>
        </w:tc>
        <w:tc>
          <w:tcPr>
            <w:tcW w:w="0" w:type="auto"/>
            <w:tcBorders>
              <w:top w:val="nil"/>
              <w:left w:val="single" w:sz="6" w:space="0" w:color="B2B2B2"/>
              <w:bottom w:val="nil"/>
              <w:right w:val="nil"/>
            </w:tcBorders>
            <w:shd w:val="clear" w:color="auto" w:fill="EEEEEE"/>
            <w:tcMar>
              <w:top w:w="120" w:type="dxa"/>
              <w:left w:w="120" w:type="dxa"/>
              <w:bottom w:w="120" w:type="dxa"/>
              <w:right w:w="120" w:type="dxa"/>
            </w:tcMar>
            <w:hideMark/>
          </w:tcPr>
          <w:p w14:paraId="512BBDCF" w14:textId="77777777" w:rsidR="004E6167" w:rsidRPr="003C5914" w:rsidRDefault="004E6167" w:rsidP="003C5914">
            <w:pPr>
              <w:jc w:val="center"/>
              <w:rPr>
                <w:rFonts w:ascii="Times New Roman" w:eastAsia="Times New Roman" w:hAnsi="Times New Roman" w:cs="Times New Roman"/>
                <w:b/>
                <w:bCs/>
                <w:color w:val="000000"/>
              </w:rPr>
            </w:pPr>
            <w:r w:rsidRPr="003C5914">
              <w:rPr>
                <w:rFonts w:ascii="Times New Roman" w:eastAsia="Times New Roman" w:hAnsi="Times New Roman" w:cs="Times New Roman"/>
                <w:b/>
                <w:bCs/>
                <w:color w:val="000000"/>
              </w:rPr>
              <w:t>Mean Production Potential (</w:t>
            </w:r>
            <w:r w:rsidRPr="003C5914">
              <w:rPr>
                <w:rFonts w:ascii="Times New Roman" w:eastAsia="Times New Roman" w:hAnsi="Times New Roman" w:cs="Times New Roman"/>
                <w:b/>
                <w:bCs/>
                <w:i/>
                <w:iCs/>
                <w:color w:val="000000"/>
              </w:rPr>
              <w:t>μ</w:t>
            </w:r>
            <w:r w:rsidRPr="003C5914">
              <w:rPr>
                <w:rFonts w:ascii="Times New Roman" w:eastAsia="Times New Roman" w:hAnsi="Times New Roman" w:cs="Times New Roman"/>
                <w:b/>
                <w:bCs/>
                <w:color w:val="000000"/>
              </w:rPr>
              <w:t>g CH</w:t>
            </w:r>
            <w:r w:rsidRPr="003C5914">
              <w:rPr>
                <w:rFonts w:ascii="Times New Roman" w:eastAsia="Times New Roman" w:hAnsi="Times New Roman" w:cs="Times New Roman"/>
                <w:b/>
                <w:bCs/>
                <w:color w:val="000000"/>
                <w:vertAlign w:val="subscript"/>
              </w:rPr>
              <w:t>4</w:t>
            </w:r>
            <w:r w:rsidRPr="003C5914">
              <w:rPr>
                <w:rFonts w:ascii="Times New Roman" w:eastAsia="Times New Roman" w:hAnsi="Times New Roman" w:cs="Times New Roman"/>
                <w:b/>
                <w:bCs/>
                <w:color w:val="000000"/>
              </w:rPr>
              <w:t> m</w:t>
            </w:r>
            <w:r w:rsidRPr="003C5914">
              <w:rPr>
                <w:rFonts w:ascii="Times New Roman" w:eastAsia="Times New Roman" w:hAnsi="Times New Roman" w:cs="Times New Roman"/>
                <w:b/>
                <w:bCs/>
                <w:color w:val="000000"/>
                <w:vertAlign w:val="superscript"/>
              </w:rPr>
              <w:t>−3</w:t>
            </w:r>
            <w:r w:rsidRPr="003C5914">
              <w:rPr>
                <w:rFonts w:ascii="Times New Roman" w:eastAsia="Times New Roman" w:hAnsi="Times New Roman" w:cs="Times New Roman"/>
                <w:b/>
                <w:bCs/>
                <w:color w:val="000000"/>
              </w:rPr>
              <w:t> s</w:t>
            </w:r>
            <w:r w:rsidRPr="003C5914">
              <w:rPr>
                <w:rFonts w:ascii="Times New Roman" w:eastAsia="Times New Roman" w:hAnsi="Times New Roman" w:cs="Times New Roman"/>
                <w:b/>
                <w:bCs/>
                <w:color w:val="000000"/>
                <w:vertAlign w:val="superscript"/>
              </w:rPr>
              <w:t>−1</w:t>
            </w:r>
            <w:r w:rsidRPr="003C5914">
              <w:rPr>
                <w:rFonts w:ascii="Times New Roman" w:eastAsia="Times New Roman" w:hAnsi="Times New Roman" w:cs="Times New Roman"/>
                <w:b/>
                <w:bCs/>
                <w:color w:val="000000"/>
              </w:rPr>
              <w:t>)</w:t>
            </w:r>
          </w:p>
        </w:tc>
        <w:tc>
          <w:tcPr>
            <w:tcW w:w="0" w:type="auto"/>
            <w:tcBorders>
              <w:top w:val="nil"/>
              <w:left w:val="single" w:sz="6" w:space="0" w:color="B2B2B2"/>
              <w:bottom w:val="nil"/>
              <w:right w:val="nil"/>
            </w:tcBorders>
            <w:shd w:val="clear" w:color="auto" w:fill="EEEEEE"/>
            <w:tcMar>
              <w:top w:w="120" w:type="dxa"/>
              <w:left w:w="120" w:type="dxa"/>
              <w:bottom w:w="120" w:type="dxa"/>
              <w:right w:w="120" w:type="dxa"/>
            </w:tcMar>
            <w:hideMark/>
          </w:tcPr>
          <w:p w14:paraId="161D966D" w14:textId="77777777" w:rsidR="004E6167" w:rsidRPr="003C5914" w:rsidRDefault="004E6167" w:rsidP="003C5914">
            <w:pPr>
              <w:jc w:val="center"/>
              <w:rPr>
                <w:rFonts w:ascii="Times New Roman" w:eastAsia="Times New Roman" w:hAnsi="Times New Roman" w:cs="Times New Roman"/>
                <w:b/>
                <w:bCs/>
                <w:color w:val="000000"/>
              </w:rPr>
            </w:pPr>
            <w:r w:rsidRPr="003C5914">
              <w:rPr>
                <w:rFonts w:ascii="Times New Roman" w:eastAsia="Times New Roman" w:hAnsi="Times New Roman" w:cs="Times New Roman"/>
                <w:b/>
                <w:bCs/>
                <w:color w:val="000000"/>
              </w:rPr>
              <w:t>Percent of Cores Showing CH</w:t>
            </w:r>
            <w:r w:rsidRPr="003C5914">
              <w:rPr>
                <w:rFonts w:ascii="Times New Roman" w:eastAsia="Times New Roman" w:hAnsi="Times New Roman" w:cs="Times New Roman"/>
                <w:b/>
                <w:bCs/>
                <w:color w:val="000000"/>
                <w:vertAlign w:val="subscript"/>
              </w:rPr>
              <w:t>4</w:t>
            </w:r>
            <w:r w:rsidRPr="003C5914">
              <w:rPr>
                <w:rFonts w:ascii="Times New Roman" w:eastAsia="Times New Roman" w:hAnsi="Times New Roman" w:cs="Times New Roman"/>
                <w:b/>
                <w:bCs/>
                <w:color w:val="000000"/>
              </w:rPr>
              <w:t> Production</w:t>
            </w:r>
          </w:p>
        </w:tc>
        <w:tc>
          <w:tcPr>
            <w:tcW w:w="0" w:type="auto"/>
            <w:tcBorders>
              <w:top w:val="nil"/>
              <w:left w:val="single" w:sz="6" w:space="0" w:color="B2B2B2"/>
              <w:bottom w:val="nil"/>
              <w:right w:val="nil"/>
            </w:tcBorders>
            <w:shd w:val="clear" w:color="auto" w:fill="EEEEEE"/>
            <w:tcMar>
              <w:top w:w="120" w:type="dxa"/>
              <w:left w:w="120" w:type="dxa"/>
              <w:bottom w:w="120" w:type="dxa"/>
              <w:right w:w="120" w:type="dxa"/>
            </w:tcMar>
            <w:hideMark/>
          </w:tcPr>
          <w:p w14:paraId="0820A07A" w14:textId="77777777" w:rsidR="004E6167" w:rsidRPr="003C5914" w:rsidRDefault="004E6167" w:rsidP="003C5914">
            <w:pPr>
              <w:jc w:val="center"/>
              <w:rPr>
                <w:rFonts w:ascii="Times New Roman" w:eastAsia="Times New Roman" w:hAnsi="Times New Roman" w:cs="Times New Roman"/>
                <w:b/>
                <w:bCs/>
                <w:color w:val="000000"/>
              </w:rPr>
            </w:pPr>
            <w:r w:rsidRPr="003C5914">
              <w:rPr>
                <w:rFonts w:ascii="Times New Roman" w:eastAsia="Times New Roman" w:hAnsi="Times New Roman" w:cs="Times New Roman"/>
                <w:b/>
                <w:bCs/>
                <w:color w:val="000000"/>
              </w:rPr>
              <w:t>Range of Production</w:t>
            </w:r>
            <w:hyperlink r:id="rId75" w:anchor="grl29360-note-0001_54" w:tooltip="Link to note" w:history="1">
              <w:r w:rsidRPr="003C5914">
                <w:rPr>
                  <w:rFonts w:ascii="Times New Roman" w:eastAsia="Times New Roman" w:hAnsi="Times New Roman" w:cs="Times New Roman"/>
                  <w:b/>
                  <w:bCs/>
                  <w:color w:val="005274"/>
                  <w:u w:val="single"/>
                  <w:vertAlign w:val="superscript"/>
                </w:rPr>
                <w:t>a</w:t>
              </w:r>
            </w:hyperlink>
            <w:r w:rsidRPr="003C5914">
              <w:rPr>
                <w:rFonts w:ascii="Times New Roman" w:eastAsia="Times New Roman" w:hAnsi="Times New Roman" w:cs="Times New Roman"/>
                <w:b/>
                <w:bCs/>
                <w:color w:val="000000"/>
              </w:rPr>
              <w:t>(</w:t>
            </w:r>
            <w:r w:rsidRPr="003C5914">
              <w:rPr>
                <w:rFonts w:ascii="Times New Roman" w:eastAsia="Times New Roman" w:hAnsi="Times New Roman" w:cs="Times New Roman"/>
                <w:b/>
                <w:bCs/>
                <w:i/>
                <w:iCs/>
                <w:color w:val="000000"/>
              </w:rPr>
              <w:t>μ</w:t>
            </w:r>
            <w:r w:rsidRPr="003C5914">
              <w:rPr>
                <w:rFonts w:ascii="Times New Roman" w:eastAsia="Times New Roman" w:hAnsi="Times New Roman" w:cs="Times New Roman"/>
                <w:b/>
                <w:bCs/>
                <w:color w:val="000000"/>
              </w:rPr>
              <w:t>g CH4 m</w:t>
            </w:r>
            <w:r w:rsidRPr="003C5914">
              <w:rPr>
                <w:rFonts w:ascii="Times New Roman" w:eastAsia="Times New Roman" w:hAnsi="Times New Roman" w:cs="Times New Roman"/>
                <w:b/>
                <w:bCs/>
                <w:color w:val="000000"/>
                <w:vertAlign w:val="superscript"/>
              </w:rPr>
              <w:t>−3</w:t>
            </w:r>
            <w:r w:rsidRPr="003C5914">
              <w:rPr>
                <w:rFonts w:ascii="Times New Roman" w:eastAsia="Times New Roman" w:hAnsi="Times New Roman" w:cs="Times New Roman"/>
                <w:b/>
                <w:bCs/>
                <w:color w:val="000000"/>
              </w:rPr>
              <w:t>s</w:t>
            </w:r>
            <w:r w:rsidRPr="003C5914">
              <w:rPr>
                <w:rFonts w:ascii="Times New Roman" w:eastAsia="Times New Roman" w:hAnsi="Times New Roman" w:cs="Times New Roman"/>
                <w:b/>
                <w:bCs/>
                <w:color w:val="000000"/>
                <w:vertAlign w:val="superscript"/>
              </w:rPr>
              <w:t>−1</w:t>
            </w:r>
            <w:r w:rsidRPr="003C5914">
              <w:rPr>
                <w:rFonts w:ascii="Times New Roman" w:eastAsia="Times New Roman" w:hAnsi="Times New Roman" w:cs="Times New Roman"/>
                <w:b/>
                <w:bCs/>
                <w:color w:val="000000"/>
              </w:rPr>
              <w:t>)</w:t>
            </w:r>
          </w:p>
        </w:tc>
        <w:tc>
          <w:tcPr>
            <w:tcW w:w="0" w:type="auto"/>
            <w:tcBorders>
              <w:top w:val="nil"/>
              <w:left w:val="single" w:sz="6" w:space="0" w:color="B2B2B2"/>
              <w:bottom w:val="nil"/>
              <w:right w:val="nil"/>
            </w:tcBorders>
            <w:shd w:val="clear" w:color="auto" w:fill="EEEEEE"/>
            <w:tcMar>
              <w:top w:w="120" w:type="dxa"/>
              <w:left w:w="120" w:type="dxa"/>
              <w:bottom w:w="120" w:type="dxa"/>
              <w:right w:w="120" w:type="dxa"/>
            </w:tcMar>
            <w:hideMark/>
          </w:tcPr>
          <w:p w14:paraId="66B929BB" w14:textId="77777777" w:rsidR="004E6167" w:rsidRPr="003C5914" w:rsidRDefault="004E6167" w:rsidP="003C5914">
            <w:pPr>
              <w:jc w:val="center"/>
              <w:rPr>
                <w:rFonts w:ascii="Times New Roman" w:eastAsia="Times New Roman" w:hAnsi="Times New Roman" w:cs="Times New Roman"/>
                <w:b/>
                <w:bCs/>
                <w:color w:val="000000"/>
              </w:rPr>
            </w:pPr>
            <w:r w:rsidRPr="003C5914">
              <w:rPr>
                <w:rFonts w:ascii="Times New Roman" w:eastAsia="Times New Roman" w:hAnsi="Times New Roman" w:cs="Times New Roman"/>
                <w:b/>
                <w:bCs/>
                <w:color w:val="000000"/>
              </w:rPr>
              <w:t>Standing Bole Volume (m</w:t>
            </w:r>
            <w:r w:rsidRPr="003C5914">
              <w:rPr>
                <w:rFonts w:ascii="Times New Roman" w:eastAsia="Times New Roman" w:hAnsi="Times New Roman" w:cs="Times New Roman"/>
                <w:b/>
                <w:bCs/>
                <w:color w:val="000000"/>
                <w:vertAlign w:val="superscript"/>
              </w:rPr>
              <w:t>3</w:t>
            </w:r>
            <w:r w:rsidRPr="003C5914">
              <w:rPr>
                <w:rFonts w:ascii="Times New Roman" w:eastAsia="Times New Roman" w:hAnsi="Times New Roman" w:cs="Times New Roman"/>
                <w:b/>
                <w:bCs/>
                <w:color w:val="000000"/>
              </w:rPr>
              <w:t>ha </w:t>
            </w:r>
            <w:r w:rsidRPr="003C5914">
              <w:rPr>
                <w:rFonts w:ascii="Times New Roman" w:eastAsia="Times New Roman" w:hAnsi="Times New Roman" w:cs="Times New Roman"/>
                <w:b/>
                <w:bCs/>
                <w:color w:val="000000"/>
                <w:vertAlign w:val="superscript"/>
              </w:rPr>
              <w:t>−1</w:t>
            </w:r>
            <w:r w:rsidRPr="003C5914">
              <w:rPr>
                <w:rFonts w:ascii="Times New Roman" w:eastAsia="Times New Roman" w:hAnsi="Times New Roman" w:cs="Times New Roman"/>
                <w:b/>
                <w:bCs/>
                <w:color w:val="000000"/>
              </w:rPr>
              <w:t>)</w:t>
            </w:r>
          </w:p>
        </w:tc>
        <w:tc>
          <w:tcPr>
            <w:tcW w:w="0" w:type="auto"/>
            <w:tcBorders>
              <w:top w:val="nil"/>
              <w:left w:val="single" w:sz="6" w:space="0" w:color="B2B2B2"/>
              <w:bottom w:val="nil"/>
              <w:right w:val="nil"/>
            </w:tcBorders>
            <w:shd w:val="clear" w:color="auto" w:fill="EEEEEE"/>
            <w:tcMar>
              <w:top w:w="120" w:type="dxa"/>
              <w:left w:w="120" w:type="dxa"/>
              <w:bottom w:w="120" w:type="dxa"/>
              <w:right w:w="120" w:type="dxa"/>
            </w:tcMar>
            <w:hideMark/>
          </w:tcPr>
          <w:p w14:paraId="6882DAB9" w14:textId="77777777" w:rsidR="004E6167" w:rsidRPr="003C5914" w:rsidRDefault="004E6167" w:rsidP="003C5914">
            <w:pPr>
              <w:jc w:val="center"/>
              <w:rPr>
                <w:rFonts w:ascii="Times New Roman" w:eastAsia="Times New Roman" w:hAnsi="Times New Roman" w:cs="Times New Roman"/>
                <w:b/>
                <w:bCs/>
                <w:color w:val="000000"/>
              </w:rPr>
            </w:pPr>
            <w:r w:rsidRPr="003C5914">
              <w:rPr>
                <w:rFonts w:ascii="Times New Roman" w:eastAsia="Times New Roman" w:hAnsi="Times New Roman" w:cs="Times New Roman"/>
                <w:b/>
                <w:bCs/>
                <w:color w:val="000000"/>
              </w:rPr>
              <w:t>Percentage of Volume Lost to Heart Rot</w:t>
            </w:r>
            <w:hyperlink r:id="rId76" w:anchor="grl29360-note-0002_55" w:tooltip="Link to note" w:history="1">
              <w:r w:rsidRPr="003C5914">
                <w:rPr>
                  <w:rFonts w:ascii="Times New Roman" w:eastAsia="Times New Roman" w:hAnsi="Times New Roman" w:cs="Times New Roman"/>
                  <w:b/>
                  <w:bCs/>
                  <w:color w:val="005274"/>
                  <w:u w:val="single"/>
                  <w:vertAlign w:val="superscript"/>
                </w:rPr>
                <w:t>b</w:t>
              </w:r>
            </w:hyperlink>
          </w:p>
        </w:tc>
      </w:tr>
      <w:tr w:rsidR="004E6167" w:rsidRPr="003C5914" w14:paraId="54451D86" w14:textId="77777777" w:rsidTr="00182DCE">
        <w:tc>
          <w:tcPr>
            <w:tcW w:w="0" w:type="auto"/>
            <w:tcMar>
              <w:top w:w="180" w:type="dxa"/>
              <w:left w:w="180" w:type="dxa"/>
              <w:bottom w:w="0" w:type="dxa"/>
              <w:right w:w="180" w:type="dxa"/>
            </w:tcMar>
            <w:hideMark/>
          </w:tcPr>
          <w:p w14:paraId="54186C4C" w14:textId="77777777" w:rsidR="004E6167" w:rsidRPr="003C5914" w:rsidRDefault="004E6167" w:rsidP="003C5914">
            <w:pPr>
              <w:jc w:val="center"/>
              <w:rPr>
                <w:rFonts w:ascii="Times New Roman" w:eastAsia="Times New Roman" w:hAnsi="Times New Roman" w:cs="Times New Roman"/>
                <w:color w:val="000000"/>
              </w:rPr>
            </w:pPr>
            <w:r w:rsidRPr="003C5914">
              <w:rPr>
                <w:rFonts w:ascii="Times New Roman" w:eastAsia="Times New Roman" w:hAnsi="Times New Roman" w:cs="Times New Roman"/>
                <w:i/>
                <w:iCs/>
                <w:color w:val="000000"/>
              </w:rPr>
              <w:t>Pinus strobus L.</w:t>
            </w:r>
            <w:r w:rsidRPr="003C5914">
              <w:rPr>
                <w:rFonts w:ascii="Times New Roman" w:eastAsia="Times New Roman" w:hAnsi="Times New Roman" w:cs="Times New Roman"/>
                <w:color w:val="000000"/>
              </w:rPr>
              <w:t> (eastern white pine)</w:t>
            </w:r>
          </w:p>
        </w:tc>
        <w:tc>
          <w:tcPr>
            <w:tcW w:w="0" w:type="auto"/>
            <w:tcMar>
              <w:top w:w="180" w:type="dxa"/>
              <w:left w:w="180" w:type="dxa"/>
              <w:bottom w:w="0" w:type="dxa"/>
              <w:right w:w="180" w:type="dxa"/>
            </w:tcMar>
            <w:hideMark/>
          </w:tcPr>
          <w:p w14:paraId="47FF8F07" w14:textId="77777777" w:rsidR="004E6167" w:rsidRPr="003C5914" w:rsidRDefault="004E6167" w:rsidP="003C5914">
            <w:pPr>
              <w:jc w:val="center"/>
              <w:rPr>
                <w:rFonts w:ascii="Times New Roman" w:eastAsia="Times New Roman" w:hAnsi="Times New Roman" w:cs="Times New Roman"/>
                <w:color w:val="000000"/>
              </w:rPr>
            </w:pPr>
            <w:r w:rsidRPr="003C5914">
              <w:rPr>
                <w:rFonts w:ascii="Times New Roman" w:eastAsia="Times New Roman" w:hAnsi="Times New Roman" w:cs="Times New Roman"/>
                <w:color w:val="000000"/>
              </w:rPr>
              <w:t>0.067</w:t>
            </w:r>
          </w:p>
        </w:tc>
        <w:tc>
          <w:tcPr>
            <w:tcW w:w="0" w:type="auto"/>
            <w:tcMar>
              <w:top w:w="180" w:type="dxa"/>
              <w:left w:w="180" w:type="dxa"/>
              <w:bottom w:w="0" w:type="dxa"/>
              <w:right w:w="180" w:type="dxa"/>
            </w:tcMar>
            <w:hideMark/>
          </w:tcPr>
          <w:p w14:paraId="321EDD34" w14:textId="77777777" w:rsidR="004E6167" w:rsidRPr="003C5914" w:rsidRDefault="004E6167" w:rsidP="003C5914">
            <w:pPr>
              <w:jc w:val="center"/>
              <w:rPr>
                <w:rFonts w:ascii="Times New Roman" w:eastAsia="Times New Roman" w:hAnsi="Times New Roman" w:cs="Times New Roman"/>
                <w:color w:val="000000"/>
              </w:rPr>
            </w:pPr>
            <w:r w:rsidRPr="003C5914">
              <w:rPr>
                <w:rFonts w:ascii="Times New Roman" w:eastAsia="Times New Roman" w:hAnsi="Times New Roman" w:cs="Times New Roman"/>
                <w:color w:val="000000"/>
              </w:rPr>
              <w:t>40</w:t>
            </w:r>
          </w:p>
        </w:tc>
        <w:tc>
          <w:tcPr>
            <w:tcW w:w="0" w:type="auto"/>
            <w:tcMar>
              <w:top w:w="180" w:type="dxa"/>
              <w:left w:w="180" w:type="dxa"/>
              <w:bottom w:w="0" w:type="dxa"/>
              <w:right w:w="180" w:type="dxa"/>
            </w:tcMar>
            <w:hideMark/>
          </w:tcPr>
          <w:p w14:paraId="6518EFAD" w14:textId="77777777" w:rsidR="004E6167" w:rsidRPr="003C5914" w:rsidRDefault="004E6167" w:rsidP="003C5914">
            <w:pPr>
              <w:jc w:val="center"/>
              <w:rPr>
                <w:rFonts w:ascii="Times New Roman" w:eastAsia="Times New Roman" w:hAnsi="Times New Roman" w:cs="Times New Roman"/>
                <w:color w:val="000000"/>
              </w:rPr>
            </w:pPr>
            <w:r w:rsidRPr="003C5914">
              <w:rPr>
                <w:rFonts w:ascii="Times New Roman" w:eastAsia="Times New Roman" w:hAnsi="Times New Roman" w:cs="Times New Roman"/>
                <w:color w:val="000000"/>
              </w:rPr>
              <w:t>.161–.175</w:t>
            </w:r>
          </w:p>
        </w:tc>
        <w:tc>
          <w:tcPr>
            <w:tcW w:w="0" w:type="auto"/>
            <w:tcMar>
              <w:top w:w="180" w:type="dxa"/>
              <w:left w:w="180" w:type="dxa"/>
              <w:bottom w:w="0" w:type="dxa"/>
              <w:right w:w="180" w:type="dxa"/>
            </w:tcMar>
            <w:hideMark/>
          </w:tcPr>
          <w:p w14:paraId="08AFAD3F" w14:textId="77777777" w:rsidR="004E6167" w:rsidRPr="003C5914" w:rsidRDefault="004E6167" w:rsidP="003C5914">
            <w:pPr>
              <w:jc w:val="center"/>
              <w:rPr>
                <w:rFonts w:ascii="Times New Roman" w:eastAsia="Times New Roman" w:hAnsi="Times New Roman" w:cs="Times New Roman"/>
                <w:color w:val="000000"/>
              </w:rPr>
            </w:pPr>
            <w:r w:rsidRPr="003C5914">
              <w:rPr>
                <w:rFonts w:ascii="Times New Roman" w:eastAsia="Times New Roman" w:hAnsi="Times New Roman" w:cs="Times New Roman"/>
                <w:color w:val="000000"/>
              </w:rPr>
              <w:t>8.6</w:t>
            </w:r>
          </w:p>
        </w:tc>
        <w:tc>
          <w:tcPr>
            <w:tcW w:w="0" w:type="auto"/>
            <w:tcMar>
              <w:top w:w="180" w:type="dxa"/>
              <w:left w:w="180" w:type="dxa"/>
              <w:bottom w:w="0" w:type="dxa"/>
              <w:right w:w="180" w:type="dxa"/>
            </w:tcMar>
            <w:hideMark/>
          </w:tcPr>
          <w:p w14:paraId="569604DB" w14:textId="77777777" w:rsidR="004E6167" w:rsidRPr="003C5914" w:rsidRDefault="004E6167" w:rsidP="003C5914">
            <w:pPr>
              <w:jc w:val="center"/>
              <w:rPr>
                <w:rFonts w:ascii="Times New Roman" w:eastAsia="Times New Roman" w:hAnsi="Times New Roman" w:cs="Times New Roman"/>
                <w:color w:val="000000"/>
              </w:rPr>
            </w:pPr>
            <w:r w:rsidRPr="003C5914">
              <w:rPr>
                <w:rFonts w:ascii="Times New Roman" w:eastAsia="Times New Roman" w:hAnsi="Times New Roman" w:cs="Times New Roman"/>
                <w:color w:val="000000"/>
              </w:rPr>
              <w:t>5%</w:t>
            </w:r>
          </w:p>
        </w:tc>
      </w:tr>
      <w:tr w:rsidR="004E6167" w:rsidRPr="003C5914" w14:paraId="4CC457B2" w14:textId="77777777" w:rsidTr="00182DCE">
        <w:tc>
          <w:tcPr>
            <w:tcW w:w="0" w:type="auto"/>
            <w:tcMar>
              <w:top w:w="180" w:type="dxa"/>
              <w:left w:w="180" w:type="dxa"/>
              <w:bottom w:w="0" w:type="dxa"/>
              <w:right w:w="180" w:type="dxa"/>
            </w:tcMar>
            <w:hideMark/>
          </w:tcPr>
          <w:p w14:paraId="7A8A80F5" w14:textId="77777777" w:rsidR="004E6167" w:rsidRPr="003C5914" w:rsidRDefault="004E6167" w:rsidP="003C5914">
            <w:pPr>
              <w:jc w:val="center"/>
              <w:rPr>
                <w:rFonts w:ascii="Times New Roman" w:eastAsia="Times New Roman" w:hAnsi="Times New Roman" w:cs="Times New Roman"/>
                <w:color w:val="000000"/>
              </w:rPr>
            </w:pPr>
            <w:r w:rsidRPr="003C5914">
              <w:rPr>
                <w:rFonts w:ascii="Times New Roman" w:eastAsia="Times New Roman" w:hAnsi="Times New Roman" w:cs="Times New Roman"/>
                <w:i/>
                <w:iCs/>
                <w:color w:val="000000"/>
              </w:rPr>
              <w:t>Tsuga canadensis L.</w:t>
            </w:r>
            <w:r w:rsidRPr="003C5914">
              <w:rPr>
                <w:rFonts w:ascii="Times New Roman" w:eastAsia="Times New Roman" w:hAnsi="Times New Roman" w:cs="Times New Roman"/>
                <w:color w:val="000000"/>
              </w:rPr>
              <w:t>(eastern hemlock)</w:t>
            </w:r>
          </w:p>
        </w:tc>
        <w:tc>
          <w:tcPr>
            <w:tcW w:w="0" w:type="auto"/>
            <w:tcMar>
              <w:top w:w="180" w:type="dxa"/>
              <w:left w:w="180" w:type="dxa"/>
              <w:bottom w:w="0" w:type="dxa"/>
              <w:right w:w="180" w:type="dxa"/>
            </w:tcMar>
            <w:hideMark/>
          </w:tcPr>
          <w:p w14:paraId="2E822AB2" w14:textId="77777777" w:rsidR="004E6167" w:rsidRPr="003C5914" w:rsidRDefault="004E6167" w:rsidP="003C5914">
            <w:pPr>
              <w:jc w:val="center"/>
              <w:rPr>
                <w:rFonts w:ascii="Times New Roman" w:eastAsia="Times New Roman" w:hAnsi="Times New Roman" w:cs="Times New Roman"/>
                <w:color w:val="000000"/>
              </w:rPr>
            </w:pPr>
            <w:r w:rsidRPr="003C5914">
              <w:rPr>
                <w:rFonts w:ascii="Times New Roman" w:eastAsia="Times New Roman" w:hAnsi="Times New Roman" w:cs="Times New Roman"/>
                <w:color w:val="000000"/>
              </w:rPr>
              <w:t>0.115</w:t>
            </w:r>
          </w:p>
        </w:tc>
        <w:tc>
          <w:tcPr>
            <w:tcW w:w="0" w:type="auto"/>
            <w:tcMar>
              <w:top w:w="180" w:type="dxa"/>
              <w:left w:w="180" w:type="dxa"/>
              <w:bottom w:w="0" w:type="dxa"/>
              <w:right w:w="180" w:type="dxa"/>
            </w:tcMar>
            <w:hideMark/>
          </w:tcPr>
          <w:p w14:paraId="52ACB386" w14:textId="77777777" w:rsidR="004E6167" w:rsidRPr="003C5914" w:rsidRDefault="004E6167" w:rsidP="003C5914">
            <w:pPr>
              <w:jc w:val="center"/>
              <w:rPr>
                <w:rFonts w:ascii="Times New Roman" w:eastAsia="Times New Roman" w:hAnsi="Times New Roman" w:cs="Times New Roman"/>
                <w:color w:val="000000"/>
              </w:rPr>
            </w:pPr>
            <w:r w:rsidRPr="003C5914">
              <w:rPr>
                <w:rFonts w:ascii="Times New Roman" w:eastAsia="Times New Roman" w:hAnsi="Times New Roman" w:cs="Times New Roman"/>
                <w:color w:val="000000"/>
              </w:rPr>
              <w:t>40</w:t>
            </w:r>
          </w:p>
        </w:tc>
        <w:tc>
          <w:tcPr>
            <w:tcW w:w="0" w:type="auto"/>
            <w:tcMar>
              <w:top w:w="180" w:type="dxa"/>
              <w:left w:w="180" w:type="dxa"/>
              <w:bottom w:w="0" w:type="dxa"/>
              <w:right w:w="180" w:type="dxa"/>
            </w:tcMar>
            <w:hideMark/>
          </w:tcPr>
          <w:p w14:paraId="466FF2BF" w14:textId="77777777" w:rsidR="004E6167" w:rsidRPr="003C5914" w:rsidRDefault="004E6167" w:rsidP="003C5914">
            <w:pPr>
              <w:jc w:val="center"/>
              <w:rPr>
                <w:rFonts w:ascii="Times New Roman" w:eastAsia="Times New Roman" w:hAnsi="Times New Roman" w:cs="Times New Roman"/>
                <w:color w:val="000000"/>
              </w:rPr>
            </w:pPr>
            <w:r w:rsidRPr="003C5914">
              <w:rPr>
                <w:rFonts w:ascii="Times New Roman" w:eastAsia="Times New Roman" w:hAnsi="Times New Roman" w:cs="Times New Roman"/>
                <w:color w:val="000000"/>
              </w:rPr>
              <w:t>.190–.383</w:t>
            </w:r>
          </w:p>
        </w:tc>
        <w:tc>
          <w:tcPr>
            <w:tcW w:w="0" w:type="auto"/>
            <w:tcMar>
              <w:top w:w="180" w:type="dxa"/>
              <w:left w:w="180" w:type="dxa"/>
              <w:bottom w:w="0" w:type="dxa"/>
              <w:right w:w="180" w:type="dxa"/>
            </w:tcMar>
            <w:hideMark/>
          </w:tcPr>
          <w:p w14:paraId="4FC065C6" w14:textId="77777777" w:rsidR="004E6167" w:rsidRPr="003C5914" w:rsidRDefault="004E6167" w:rsidP="003C5914">
            <w:pPr>
              <w:jc w:val="center"/>
              <w:rPr>
                <w:rFonts w:ascii="Times New Roman" w:eastAsia="Times New Roman" w:hAnsi="Times New Roman" w:cs="Times New Roman"/>
                <w:color w:val="000000"/>
              </w:rPr>
            </w:pPr>
            <w:r w:rsidRPr="003C5914">
              <w:rPr>
                <w:rFonts w:ascii="Times New Roman" w:eastAsia="Times New Roman" w:hAnsi="Times New Roman" w:cs="Times New Roman"/>
                <w:color w:val="000000"/>
              </w:rPr>
              <w:t>11.5</w:t>
            </w:r>
          </w:p>
        </w:tc>
        <w:tc>
          <w:tcPr>
            <w:tcW w:w="0" w:type="auto"/>
            <w:tcMar>
              <w:top w:w="180" w:type="dxa"/>
              <w:left w:w="180" w:type="dxa"/>
              <w:bottom w:w="0" w:type="dxa"/>
              <w:right w:w="180" w:type="dxa"/>
            </w:tcMar>
            <w:hideMark/>
          </w:tcPr>
          <w:p w14:paraId="230D3559" w14:textId="77777777" w:rsidR="004E6167" w:rsidRPr="003C5914" w:rsidRDefault="004E6167" w:rsidP="003C5914">
            <w:pPr>
              <w:jc w:val="center"/>
              <w:rPr>
                <w:rFonts w:ascii="Times New Roman" w:eastAsia="Times New Roman" w:hAnsi="Times New Roman" w:cs="Times New Roman"/>
                <w:color w:val="000000"/>
              </w:rPr>
            </w:pPr>
            <w:r w:rsidRPr="003C5914">
              <w:rPr>
                <w:rFonts w:ascii="Times New Roman" w:eastAsia="Times New Roman" w:hAnsi="Times New Roman" w:cs="Times New Roman"/>
                <w:color w:val="000000"/>
              </w:rPr>
              <w:t>12%</w:t>
            </w:r>
          </w:p>
        </w:tc>
      </w:tr>
      <w:tr w:rsidR="004E6167" w:rsidRPr="003C5914" w14:paraId="36286029" w14:textId="77777777" w:rsidTr="00182DCE">
        <w:tc>
          <w:tcPr>
            <w:tcW w:w="0" w:type="auto"/>
            <w:tcMar>
              <w:top w:w="180" w:type="dxa"/>
              <w:left w:w="180" w:type="dxa"/>
              <w:bottom w:w="0" w:type="dxa"/>
              <w:right w:w="180" w:type="dxa"/>
            </w:tcMar>
            <w:hideMark/>
          </w:tcPr>
          <w:p w14:paraId="236522A1" w14:textId="77777777" w:rsidR="004E6167" w:rsidRPr="003C5914" w:rsidRDefault="004E6167" w:rsidP="003C5914">
            <w:pPr>
              <w:jc w:val="center"/>
              <w:rPr>
                <w:rFonts w:ascii="Times New Roman" w:eastAsia="Times New Roman" w:hAnsi="Times New Roman" w:cs="Times New Roman"/>
                <w:color w:val="000000"/>
              </w:rPr>
            </w:pPr>
            <w:r w:rsidRPr="003C5914">
              <w:rPr>
                <w:rFonts w:ascii="Times New Roman" w:eastAsia="Times New Roman" w:hAnsi="Times New Roman" w:cs="Times New Roman"/>
                <w:i/>
                <w:iCs/>
                <w:color w:val="000000"/>
              </w:rPr>
              <w:t>Quercus rubra</w:t>
            </w:r>
            <w:r w:rsidRPr="003C5914">
              <w:rPr>
                <w:rFonts w:ascii="Times New Roman" w:eastAsia="Times New Roman" w:hAnsi="Times New Roman" w:cs="Times New Roman"/>
                <w:color w:val="000000"/>
              </w:rPr>
              <w:t> L. (red oak)</w:t>
            </w:r>
          </w:p>
        </w:tc>
        <w:tc>
          <w:tcPr>
            <w:tcW w:w="0" w:type="auto"/>
            <w:tcMar>
              <w:top w:w="180" w:type="dxa"/>
              <w:left w:w="180" w:type="dxa"/>
              <w:bottom w:w="0" w:type="dxa"/>
              <w:right w:w="180" w:type="dxa"/>
            </w:tcMar>
            <w:hideMark/>
          </w:tcPr>
          <w:p w14:paraId="79EE4198" w14:textId="77777777" w:rsidR="004E6167" w:rsidRPr="003C5914" w:rsidRDefault="004E6167" w:rsidP="003C5914">
            <w:pPr>
              <w:jc w:val="center"/>
              <w:rPr>
                <w:rFonts w:ascii="Times New Roman" w:eastAsia="Times New Roman" w:hAnsi="Times New Roman" w:cs="Times New Roman"/>
                <w:color w:val="000000"/>
              </w:rPr>
            </w:pPr>
            <w:r w:rsidRPr="003C5914">
              <w:rPr>
                <w:rFonts w:ascii="Times New Roman" w:eastAsia="Times New Roman" w:hAnsi="Times New Roman" w:cs="Times New Roman"/>
                <w:color w:val="000000"/>
              </w:rPr>
              <w:t>0.107</w:t>
            </w:r>
          </w:p>
        </w:tc>
        <w:tc>
          <w:tcPr>
            <w:tcW w:w="0" w:type="auto"/>
            <w:tcMar>
              <w:top w:w="180" w:type="dxa"/>
              <w:left w:w="180" w:type="dxa"/>
              <w:bottom w:w="0" w:type="dxa"/>
              <w:right w:w="180" w:type="dxa"/>
            </w:tcMar>
            <w:hideMark/>
          </w:tcPr>
          <w:p w14:paraId="44574C85" w14:textId="77777777" w:rsidR="004E6167" w:rsidRPr="003C5914" w:rsidRDefault="004E6167" w:rsidP="003C5914">
            <w:pPr>
              <w:jc w:val="center"/>
              <w:rPr>
                <w:rFonts w:ascii="Times New Roman" w:eastAsia="Times New Roman" w:hAnsi="Times New Roman" w:cs="Times New Roman"/>
                <w:color w:val="000000"/>
              </w:rPr>
            </w:pPr>
            <w:r w:rsidRPr="003C5914">
              <w:rPr>
                <w:rFonts w:ascii="Times New Roman" w:eastAsia="Times New Roman" w:hAnsi="Times New Roman" w:cs="Times New Roman"/>
                <w:color w:val="000000"/>
              </w:rPr>
              <w:t>60</w:t>
            </w:r>
          </w:p>
        </w:tc>
        <w:tc>
          <w:tcPr>
            <w:tcW w:w="0" w:type="auto"/>
            <w:tcMar>
              <w:top w:w="180" w:type="dxa"/>
              <w:left w:w="180" w:type="dxa"/>
              <w:bottom w:w="0" w:type="dxa"/>
              <w:right w:w="180" w:type="dxa"/>
            </w:tcMar>
            <w:hideMark/>
          </w:tcPr>
          <w:p w14:paraId="641F5E29" w14:textId="77777777" w:rsidR="004E6167" w:rsidRPr="003C5914" w:rsidRDefault="004E6167" w:rsidP="003C5914">
            <w:pPr>
              <w:jc w:val="center"/>
              <w:rPr>
                <w:rFonts w:ascii="Times New Roman" w:eastAsia="Times New Roman" w:hAnsi="Times New Roman" w:cs="Times New Roman"/>
                <w:color w:val="000000"/>
              </w:rPr>
            </w:pPr>
            <w:r w:rsidRPr="003C5914">
              <w:rPr>
                <w:rFonts w:ascii="Times New Roman" w:eastAsia="Times New Roman" w:hAnsi="Times New Roman" w:cs="Times New Roman"/>
                <w:color w:val="000000"/>
              </w:rPr>
              <w:t>.165–.192</w:t>
            </w:r>
          </w:p>
        </w:tc>
        <w:tc>
          <w:tcPr>
            <w:tcW w:w="0" w:type="auto"/>
            <w:tcMar>
              <w:top w:w="180" w:type="dxa"/>
              <w:left w:w="180" w:type="dxa"/>
              <w:bottom w:w="0" w:type="dxa"/>
              <w:right w:w="180" w:type="dxa"/>
            </w:tcMar>
            <w:hideMark/>
          </w:tcPr>
          <w:p w14:paraId="226C2E8D" w14:textId="77777777" w:rsidR="004E6167" w:rsidRPr="003C5914" w:rsidRDefault="004E6167" w:rsidP="003C5914">
            <w:pPr>
              <w:jc w:val="center"/>
              <w:rPr>
                <w:rFonts w:ascii="Times New Roman" w:eastAsia="Times New Roman" w:hAnsi="Times New Roman" w:cs="Times New Roman"/>
                <w:color w:val="000000"/>
              </w:rPr>
            </w:pPr>
            <w:r w:rsidRPr="003C5914">
              <w:rPr>
                <w:rFonts w:ascii="Times New Roman" w:eastAsia="Times New Roman" w:hAnsi="Times New Roman" w:cs="Times New Roman"/>
                <w:color w:val="000000"/>
              </w:rPr>
              <w:t>28.2</w:t>
            </w:r>
          </w:p>
        </w:tc>
        <w:tc>
          <w:tcPr>
            <w:tcW w:w="0" w:type="auto"/>
            <w:tcMar>
              <w:top w:w="180" w:type="dxa"/>
              <w:left w:w="180" w:type="dxa"/>
              <w:bottom w:w="0" w:type="dxa"/>
              <w:right w:w="180" w:type="dxa"/>
            </w:tcMar>
            <w:hideMark/>
          </w:tcPr>
          <w:p w14:paraId="2B42A107" w14:textId="77777777" w:rsidR="004E6167" w:rsidRPr="003C5914" w:rsidRDefault="004E6167" w:rsidP="003C5914">
            <w:pPr>
              <w:jc w:val="center"/>
              <w:rPr>
                <w:rFonts w:ascii="Times New Roman" w:eastAsia="Times New Roman" w:hAnsi="Times New Roman" w:cs="Times New Roman"/>
                <w:color w:val="000000"/>
              </w:rPr>
            </w:pPr>
            <w:r w:rsidRPr="003C5914">
              <w:rPr>
                <w:rFonts w:ascii="Times New Roman" w:eastAsia="Times New Roman" w:hAnsi="Times New Roman" w:cs="Times New Roman"/>
                <w:color w:val="000000"/>
              </w:rPr>
              <w:t>19%</w:t>
            </w:r>
          </w:p>
        </w:tc>
      </w:tr>
      <w:tr w:rsidR="004E6167" w:rsidRPr="003C5914" w14:paraId="094986E8" w14:textId="77777777" w:rsidTr="00182DCE">
        <w:tc>
          <w:tcPr>
            <w:tcW w:w="0" w:type="auto"/>
            <w:tcMar>
              <w:top w:w="180" w:type="dxa"/>
              <w:left w:w="180" w:type="dxa"/>
              <w:bottom w:w="0" w:type="dxa"/>
              <w:right w:w="180" w:type="dxa"/>
            </w:tcMar>
            <w:hideMark/>
          </w:tcPr>
          <w:p w14:paraId="45FDDDD6" w14:textId="77777777" w:rsidR="004E6167" w:rsidRPr="003C5914" w:rsidRDefault="004E6167" w:rsidP="003C5914">
            <w:pPr>
              <w:jc w:val="center"/>
              <w:rPr>
                <w:rFonts w:ascii="Times New Roman" w:eastAsia="Times New Roman" w:hAnsi="Times New Roman" w:cs="Times New Roman"/>
                <w:color w:val="000000"/>
              </w:rPr>
            </w:pPr>
            <w:r w:rsidRPr="003C5914">
              <w:rPr>
                <w:rFonts w:ascii="Times New Roman" w:eastAsia="Times New Roman" w:hAnsi="Times New Roman" w:cs="Times New Roman"/>
                <w:i/>
                <w:iCs/>
                <w:color w:val="000000"/>
              </w:rPr>
              <w:lastRenderedPageBreak/>
              <w:t>Betula lenta</w:t>
            </w:r>
            <w:r w:rsidRPr="003C5914">
              <w:rPr>
                <w:rFonts w:ascii="Times New Roman" w:eastAsia="Times New Roman" w:hAnsi="Times New Roman" w:cs="Times New Roman"/>
                <w:color w:val="000000"/>
              </w:rPr>
              <w:t>L. (black birch)</w:t>
            </w:r>
          </w:p>
        </w:tc>
        <w:tc>
          <w:tcPr>
            <w:tcW w:w="0" w:type="auto"/>
            <w:tcMar>
              <w:top w:w="180" w:type="dxa"/>
              <w:left w:w="180" w:type="dxa"/>
              <w:bottom w:w="0" w:type="dxa"/>
              <w:right w:w="180" w:type="dxa"/>
            </w:tcMar>
            <w:hideMark/>
          </w:tcPr>
          <w:p w14:paraId="37342586" w14:textId="77777777" w:rsidR="004E6167" w:rsidRPr="003C5914" w:rsidRDefault="004E6167" w:rsidP="003C5914">
            <w:pPr>
              <w:jc w:val="center"/>
              <w:rPr>
                <w:rFonts w:ascii="Times New Roman" w:eastAsia="Times New Roman" w:hAnsi="Times New Roman" w:cs="Times New Roman"/>
                <w:color w:val="000000"/>
              </w:rPr>
            </w:pPr>
            <w:r w:rsidRPr="003C5914">
              <w:rPr>
                <w:rFonts w:ascii="Times New Roman" w:eastAsia="Times New Roman" w:hAnsi="Times New Roman" w:cs="Times New Roman"/>
                <w:color w:val="000000"/>
              </w:rPr>
              <w:t>1.555</w:t>
            </w:r>
          </w:p>
        </w:tc>
        <w:tc>
          <w:tcPr>
            <w:tcW w:w="0" w:type="auto"/>
            <w:tcMar>
              <w:top w:w="180" w:type="dxa"/>
              <w:left w:w="180" w:type="dxa"/>
              <w:bottom w:w="0" w:type="dxa"/>
              <w:right w:w="180" w:type="dxa"/>
            </w:tcMar>
            <w:hideMark/>
          </w:tcPr>
          <w:p w14:paraId="669043CB" w14:textId="77777777" w:rsidR="004E6167" w:rsidRPr="003C5914" w:rsidRDefault="004E6167" w:rsidP="003C5914">
            <w:pPr>
              <w:jc w:val="center"/>
              <w:rPr>
                <w:rFonts w:ascii="Times New Roman" w:eastAsia="Times New Roman" w:hAnsi="Times New Roman" w:cs="Times New Roman"/>
                <w:color w:val="000000"/>
              </w:rPr>
            </w:pPr>
            <w:r w:rsidRPr="003C5914">
              <w:rPr>
                <w:rFonts w:ascii="Times New Roman" w:eastAsia="Times New Roman" w:hAnsi="Times New Roman" w:cs="Times New Roman"/>
                <w:color w:val="000000"/>
              </w:rPr>
              <w:t>80</w:t>
            </w:r>
          </w:p>
        </w:tc>
        <w:tc>
          <w:tcPr>
            <w:tcW w:w="0" w:type="auto"/>
            <w:tcMar>
              <w:top w:w="180" w:type="dxa"/>
              <w:left w:w="180" w:type="dxa"/>
              <w:bottom w:w="0" w:type="dxa"/>
              <w:right w:w="180" w:type="dxa"/>
            </w:tcMar>
            <w:hideMark/>
          </w:tcPr>
          <w:p w14:paraId="4785B2D7" w14:textId="77777777" w:rsidR="004E6167" w:rsidRPr="003C5914" w:rsidRDefault="004E6167" w:rsidP="003C5914">
            <w:pPr>
              <w:jc w:val="center"/>
              <w:rPr>
                <w:rFonts w:ascii="Times New Roman" w:eastAsia="Times New Roman" w:hAnsi="Times New Roman" w:cs="Times New Roman"/>
                <w:color w:val="000000"/>
              </w:rPr>
            </w:pPr>
            <w:r w:rsidRPr="003C5914">
              <w:rPr>
                <w:rFonts w:ascii="Times New Roman" w:eastAsia="Times New Roman" w:hAnsi="Times New Roman" w:cs="Times New Roman"/>
                <w:color w:val="000000"/>
              </w:rPr>
              <w:t>.191–6.884</w:t>
            </w:r>
          </w:p>
        </w:tc>
        <w:tc>
          <w:tcPr>
            <w:tcW w:w="0" w:type="auto"/>
            <w:tcMar>
              <w:top w:w="180" w:type="dxa"/>
              <w:left w:w="180" w:type="dxa"/>
              <w:bottom w:w="0" w:type="dxa"/>
              <w:right w:w="180" w:type="dxa"/>
            </w:tcMar>
            <w:hideMark/>
          </w:tcPr>
          <w:p w14:paraId="6F2AB1C0" w14:textId="77777777" w:rsidR="004E6167" w:rsidRPr="003C5914" w:rsidRDefault="004E6167" w:rsidP="003C5914">
            <w:pPr>
              <w:jc w:val="center"/>
              <w:rPr>
                <w:rFonts w:ascii="Times New Roman" w:eastAsia="Times New Roman" w:hAnsi="Times New Roman" w:cs="Times New Roman"/>
                <w:color w:val="000000"/>
              </w:rPr>
            </w:pPr>
            <w:r w:rsidRPr="003C5914">
              <w:rPr>
                <w:rFonts w:ascii="Times New Roman" w:eastAsia="Times New Roman" w:hAnsi="Times New Roman" w:cs="Times New Roman"/>
                <w:color w:val="000000"/>
              </w:rPr>
              <w:t>8.6</w:t>
            </w:r>
          </w:p>
        </w:tc>
        <w:tc>
          <w:tcPr>
            <w:tcW w:w="0" w:type="auto"/>
            <w:tcMar>
              <w:top w:w="180" w:type="dxa"/>
              <w:left w:w="180" w:type="dxa"/>
              <w:bottom w:w="0" w:type="dxa"/>
              <w:right w:w="180" w:type="dxa"/>
            </w:tcMar>
            <w:hideMark/>
          </w:tcPr>
          <w:p w14:paraId="53F2162C" w14:textId="77777777" w:rsidR="004E6167" w:rsidRPr="003C5914" w:rsidRDefault="004E6167" w:rsidP="003C5914">
            <w:pPr>
              <w:jc w:val="center"/>
              <w:rPr>
                <w:rFonts w:ascii="Times New Roman" w:eastAsia="Times New Roman" w:hAnsi="Times New Roman" w:cs="Times New Roman"/>
                <w:color w:val="000000"/>
              </w:rPr>
            </w:pPr>
            <w:r w:rsidRPr="003C5914">
              <w:rPr>
                <w:rFonts w:ascii="Times New Roman" w:eastAsia="Times New Roman" w:hAnsi="Times New Roman" w:cs="Times New Roman"/>
                <w:color w:val="000000"/>
              </w:rPr>
              <w:t>21%</w:t>
            </w:r>
          </w:p>
        </w:tc>
      </w:tr>
      <w:tr w:rsidR="004E6167" w:rsidRPr="003C5914" w14:paraId="49D48308" w14:textId="77777777" w:rsidTr="00182DCE">
        <w:tc>
          <w:tcPr>
            <w:tcW w:w="0" w:type="auto"/>
            <w:tcMar>
              <w:top w:w="180" w:type="dxa"/>
              <w:left w:w="180" w:type="dxa"/>
              <w:bottom w:w="180" w:type="dxa"/>
              <w:right w:w="180" w:type="dxa"/>
            </w:tcMar>
            <w:hideMark/>
          </w:tcPr>
          <w:p w14:paraId="64C91B7D" w14:textId="77777777" w:rsidR="004E6167" w:rsidRPr="003C5914" w:rsidRDefault="004E6167" w:rsidP="003C5914">
            <w:pPr>
              <w:jc w:val="center"/>
              <w:rPr>
                <w:rFonts w:ascii="Times New Roman" w:eastAsia="Times New Roman" w:hAnsi="Times New Roman" w:cs="Times New Roman"/>
                <w:color w:val="000000"/>
              </w:rPr>
            </w:pPr>
            <w:r w:rsidRPr="003C5914">
              <w:rPr>
                <w:rFonts w:ascii="Times New Roman" w:eastAsia="Times New Roman" w:hAnsi="Times New Roman" w:cs="Times New Roman"/>
                <w:i/>
                <w:iCs/>
                <w:color w:val="000000"/>
              </w:rPr>
              <w:t>Acer rubrum</w:t>
            </w:r>
            <w:r w:rsidRPr="003C5914">
              <w:rPr>
                <w:rFonts w:ascii="Times New Roman" w:eastAsia="Times New Roman" w:hAnsi="Times New Roman" w:cs="Times New Roman"/>
                <w:color w:val="000000"/>
              </w:rPr>
              <w:t>L</w:t>
            </w:r>
            <w:r w:rsidRPr="003C5914">
              <w:rPr>
                <w:rFonts w:ascii="Times New Roman" w:eastAsia="Times New Roman" w:hAnsi="Times New Roman" w:cs="Times New Roman"/>
                <w:i/>
                <w:iCs/>
                <w:color w:val="000000"/>
              </w:rPr>
              <w:t>.</w:t>
            </w:r>
            <w:r w:rsidRPr="003C5914">
              <w:rPr>
                <w:rFonts w:ascii="Times New Roman" w:eastAsia="Times New Roman" w:hAnsi="Times New Roman" w:cs="Times New Roman"/>
                <w:color w:val="000000"/>
              </w:rPr>
              <w:t> (red maple)</w:t>
            </w:r>
          </w:p>
        </w:tc>
        <w:tc>
          <w:tcPr>
            <w:tcW w:w="0" w:type="auto"/>
            <w:tcMar>
              <w:top w:w="180" w:type="dxa"/>
              <w:left w:w="180" w:type="dxa"/>
              <w:bottom w:w="180" w:type="dxa"/>
              <w:right w:w="180" w:type="dxa"/>
            </w:tcMar>
            <w:hideMark/>
          </w:tcPr>
          <w:p w14:paraId="123086DF" w14:textId="77777777" w:rsidR="004E6167" w:rsidRPr="003C5914" w:rsidRDefault="004E6167" w:rsidP="003C5914">
            <w:pPr>
              <w:jc w:val="center"/>
              <w:rPr>
                <w:rFonts w:ascii="Times New Roman" w:eastAsia="Times New Roman" w:hAnsi="Times New Roman" w:cs="Times New Roman"/>
                <w:color w:val="000000"/>
              </w:rPr>
            </w:pPr>
            <w:r w:rsidRPr="003C5914">
              <w:rPr>
                <w:rFonts w:ascii="Times New Roman" w:eastAsia="Times New Roman" w:hAnsi="Times New Roman" w:cs="Times New Roman"/>
                <w:color w:val="000000"/>
              </w:rPr>
              <w:t>1.239</w:t>
            </w:r>
          </w:p>
        </w:tc>
        <w:tc>
          <w:tcPr>
            <w:tcW w:w="0" w:type="auto"/>
            <w:tcMar>
              <w:top w:w="180" w:type="dxa"/>
              <w:left w:w="180" w:type="dxa"/>
              <w:bottom w:w="180" w:type="dxa"/>
              <w:right w:w="180" w:type="dxa"/>
            </w:tcMar>
            <w:hideMark/>
          </w:tcPr>
          <w:p w14:paraId="6AB2C12C" w14:textId="77777777" w:rsidR="004E6167" w:rsidRPr="003C5914" w:rsidRDefault="004E6167" w:rsidP="003C5914">
            <w:pPr>
              <w:jc w:val="center"/>
              <w:rPr>
                <w:rFonts w:ascii="Times New Roman" w:eastAsia="Times New Roman" w:hAnsi="Times New Roman" w:cs="Times New Roman"/>
                <w:color w:val="000000"/>
              </w:rPr>
            </w:pPr>
            <w:r w:rsidRPr="003C5914">
              <w:rPr>
                <w:rFonts w:ascii="Times New Roman" w:eastAsia="Times New Roman" w:hAnsi="Times New Roman" w:cs="Times New Roman"/>
                <w:color w:val="000000"/>
              </w:rPr>
              <w:t>60</w:t>
            </w:r>
          </w:p>
        </w:tc>
        <w:tc>
          <w:tcPr>
            <w:tcW w:w="0" w:type="auto"/>
            <w:tcMar>
              <w:top w:w="180" w:type="dxa"/>
              <w:left w:w="180" w:type="dxa"/>
              <w:bottom w:w="180" w:type="dxa"/>
              <w:right w:w="180" w:type="dxa"/>
            </w:tcMar>
            <w:hideMark/>
          </w:tcPr>
          <w:p w14:paraId="66A99C9C" w14:textId="77777777" w:rsidR="004E6167" w:rsidRPr="003C5914" w:rsidRDefault="004E6167" w:rsidP="003C5914">
            <w:pPr>
              <w:jc w:val="center"/>
              <w:rPr>
                <w:rFonts w:ascii="Times New Roman" w:eastAsia="Times New Roman" w:hAnsi="Times New Roman" w:cs="Times New Roman"/>
                <w:color w:val="000000"/>
              </w:rPr>
            </w:pPr>
            <w:r w:rsidRPr="003C5914">
              <w:rPr>
                <w:rFonts w:ascii="Times New Roman" w:eastAsia="Times New Roman" w:hAnsi="Times New Roman" w:cs="Times New Roman"/>
                <w:color w:val="000000"/>
              </w:rPr>
              <w:t>.236–3.522</w:t>
            </w:r>
          </w:p>
        </w:tc>
        <w:tc>
          <w:tcPr>
            <w:tcW w:w="0" w:type="auto"/>
            <w:tcMar>
              <w:top w:w="180" w:type="dxa"/>
              <w:left w:w="180" w:type="dxa"/>
              <w:bottom w:w="180" w:type="dxa"/>
              <w:right w:w="180" w:type="dxa"/>
            </w:tcMar>
            <w:hideMark/>
          </w:tcPr>
          <w:p w14:paraId="13E9EE88" w14:textId="77777777" w:rsidR="004E6167" w:rsidRPr="003C5914" w:rsidRDefault="004E6167" w:rsidP="003C5914">
            <w:pPr>
              <w:jc w:val="center"/>
              <w:rPr>
                <w:rFonts w:ascii="Times New Roman" w:eastAsia="Times New Roman" w:hAnsi="Times New Roman" w:cs="Times New Roman"/>
                <w:color w:val="000000"/>
              </w:rPr>
            </w:pPr>
            <w:r w:rsidRPr="003C5914">
              <w:rPr>
                <w:rFonts w:ascii="Times New Roman" w:eastAsia="Times New Roman" w:hAnsi="Times New Roman" w:cs="Times New Roman"/>
                <w:color w:val="000000"/>
              </w:rPr>
              <w:t>8.6</w:t>
            </w:r>
          </w:p>
        </w:tc>
        <w:tc>
          <w:tcPr>
            <w:tcW w:w="0" w:type="auto"/>
            <w:tcMar>
              <w:top w:w="180" w:type="dxa"/>
              <w:left w:w="180" w:type="dxa"/>
              <w:bottom w:w="180" w:type="dxa"/>
              <w:right w:w="180" w:type="dxa"/>
            </w:tcMar>
            <w:hideMark/>
          </w:tcPr>
          <w:p w14:paraId="1070936D" w14:textId="77777777" w:rsidR="004E6167" w:rsidRPr="003C5914" w:rsidRDefault="004E6167" w:rsidP="003C5914">
            <w:pPr>
              <w:jc w:val="center"/>
              <w:rPr>
                <w:rFonts w:ascii="Times New Roman" w:eastAsia="Times New Roman" w:hAnsi="Times New Roman" w:cs="Times New Roman"/>
                <w:color w:val="000000"/>
              </w:rPr>
            </w:pPr>
            <w:r w:rsidRPr="003C5914">
              <w:rPr>
                <w:rFonts w:ascii="Times New Roman" w:eastAsia="Times New Roman" w:hAnsi="Times New Roman" w:cs="Times New Roman"/>
                <w:color w:val="000000"/>
              </w:rPr>
              <w:t>21%</w:t>
            </w:r>
          </w:p>
        </w:tc>
      </w:tr>
    </w:tbl>
    <w:p w14:paraId="78B399DA" w14:textId="77777777" w:rsidR="004E6167" w:rsidRPr="003C5914" w:rsidRDefault="004E6167" w:rsidP="003C5914">
      <w:pPr>
        <w:numPr>
          <w:ilvl w:val="0"/>
          <w:numId w:val="1"/>
        </w:numPr>
        <w:shd w:val="clear" w:color="auto" w:fill="FFFFFF"/>
        <w:ind w:left="0"/>
        <w:rPr>
          <w:rFonts w:ascii="Times New Roman" w:eastAsia="Times New Roman" w:hAnsi="Times New Roman" w:cs="Times New Roman"/>
          <w:color w:val="1C1D1E"/>
        </w:rPr>
      </w:pPr>
      <w:r w:rsidRPr="003C5914">
        <w:rPr>
          <w:rFonts w:ascii="Times New Roman" w:eastAsia="Times New Roman" w:hAnsi="Times New Roman" w:cs="Times New Roman"/>
          <w:color w:val="1C1D1E"/>
        </w:rPr>
        <w:t>a Range of production includes only those samples demonstrating measureable production of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Reported means are for all samples.</w:t>
      </w:r>
    </w:p>
    <w:p w14:paraId="1D223922" w14:textId="77777777" w:rsidR="004E6167" w:rsidRPr="003C5914" w:rsidRDefault="004E6167" w:rsidP="003C5914">
      <w:pPr>
        <w:numPr>
          <w:ilvl w:val="0"/>
          <w:numId w:val="1"/>
        </w:numPr>
        <w:shd w:val="clear" w:color="auto" w:fill="FFFFFF"/>
        <w:ind w:left="0"/>
        <w:rPr>
          <w:rFonts w:ascii="Times New Roman" w:eastAsia="Times New Roman" w:hAnsi="Times New Roman" w:cs="Times New Roman"/>
          <w:color w:val="1C1D1E"/>
        </w:rPr>
      </w:pPr>
      <w:r w:rsidRPr="003C5914">
        <w:rPr>
          <w:rFonts w:ascii="Times New Roman" w:eastAsia="Times New Roman" w:hAnsi="Times New Roman" w:cs="Times New Roman"/>
          <w:color w:val="1C1D1E"/>
        </w:rPr>
        <w:t>b </w:t>
      </w:r>
      <w:hyperlink r:id="rId77" w:anchor="grl29360-bib-0059" w:history="1">
        <w:r w:rsidRPr="003C5914">
          <w:rPr>
            <w:rFonts w:ascii="Times New Roman" w:eastAsia="Times New Roman" w:hAnsi="Times New Roman" w:cs="Times New Roman"/>
            <w:i/>
            <w:iCs/>
            <w:color w:val="005293"/>
            <w:u w:val="single"/>
          </w:rPr>
          <w:t>Wagener and Davidson</w:t>
        </w:r>
        <w:r w:rsidRPr="003C5914">
          <w:rPr>
            <w:rFonts w:ascii="Times New Roman" w:eastAsia="Times New Roman" w:hAnsi="Times New Roman" w:cs="Times New Roman"/>
            <w:color w:val="005293"/>
            <w:u w:val="single"/>
          </w:rPr>
          <w:t> [1954]</w:t>
        </w:r>
      </w:hyperlink>
      <w:r w:rsidRPr="003C5914">
        <w:rPr>
          <w:rFonts w:ascii="Times New Roman" w:eastAsia="Times New Roman" w:hAnsi="Times New Roman" w:cs="Times New Roman"/>
          <w:color w:val="1C1D1E"/>
        </w:rPr>
        <w:t>.</w:t>
      </w:r>
    </w:p>
    <w:p w14:paraId="44F6876C" w14:textId="77777777" w:rsidR="004E6167" w:rsidRPr="003C5914" w:rsidRDefault="004E6167" w:rsidP="003C5914">
      <w:pPr>
        <w:shd w:val="clear" w:color="auto" w:fill="FFFFFF"/>
        <w:rPr>
          <w:rFonts w:ascii="Times New Roman" w:eastAsia="Times New Roman" w:hAnsi="Times New Roman" w:cs="Times New Roman"/>
          <w:color w:val="1C1D1E"/>
        </w:rPr>
      </w:pPr>
      <w:r w:rsidRPr="003C5914">
        <w:rPr>
          <w:rFonts w:ascii="Times New Roman" w:eastAsia="Times New Roman" w:hAnsi="Times New Roman" w:cs="Times New Roman"/>
          <w:color w:val="1C1D1E"/>
        </w:rPr>
        <w:t>[8] To determine </w:t>
      </w:r>
      <w:r w:rsidRPr="003C5914">
        <w:rPr>
          <w:rFonts w:ascii="Times New Roman" w:eastAsia="Times New Roman" w:hAnsi="Times New Roman" w:cs="Times New Roman"/>
          <w:i/>
          <w:iCs/>
          <w:color w:val="1C1D1E"/>
        </w:rPr>
        <w:t>in situ</w:t>
      </w:r>
      <w:r w:rsidRPr="003C5914">
        <w:rPr>
          <w:rFonts w:ascii="Times New Roman" w:eastAsia="Times New Roman" w:hAnsi="Times New Roman" w:cs="Times New Roman"/>
          <w:color w:val="1C1D1E"/>
        </w:rPr>
        <w:t>trunk‐gas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concentrations, prior to (April) and post (July) leaf‐out in 2011, trees were drilled horizontally at breast height to center with a 5/16″ drill bit (Speedbor, Irwin, Huntersville, NC, USA) and immediately plugged with an 8‐mm stopper (SubaSeal, Sigma‐Aldrich, St. Louis, MO, USA). A 50‐mL gas‐syringe (SGE, Ringwood, AU) was inserted through the SubaSeal and into the cavity to remove 50 mL of trunk‐gas from each tree, 15 mL of which was injected into a vacuum‐sealed 12‐mL pre‐evacuated sample vial (Exetainer, Labco, High Wycombe, UK) and 0.2 mL analyzed by gas chromatography on an FID Gas Chromatograph (310C, SRI, Menlo Park, CA, USA) equipped with a 1‐m silica‐gel column, with helium as a carrier gas and an oven temperature of 40°C.</w:t>
      </w:r>
    </w:p>
    <w:p w14:paraId="40B60B4F" w14:textId="77777777" w:rsidR="004E6167" w:rsidRPr="003C5914" w:rsidRDefault="004E6167" w:rsidP="003C5914">
      <w:pPr>
        <w:shd w:val="clear" w:color="auto" w:fill="FFFFFF"/>
        <w:rPr>
          <w:rFonts w:ascii="Times New Roman" w:eastAsia="Times New Roman" w:hAnsi="Times New Roman" w:cs="Times New Roman"/>
          <w:color w:val="1C1D1E"/>
        </w:rPr>
      </w:pPr>
      <w:r w:rsidRPr="003C5914">
        <w:rPr>
          <w:rFonts w:ascii="Times New Roman" w:eastAsia="Times New Roman" w:hAnsi="Times New Roman" w:cs="Times New Roman"/>
          <w:color w:val="1C1D1E"/>
        </w:rPr>
        <w:t>[9] We evaluated trunk‐gas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concentrations using General Linear Mixed Models to assess effect of habitat and time of year, with tree species as a random factor, therefore accounting for spatial and temporal associations in our sampling design. To discern species‐level differences, we used ANOVA to assess time‐of‐year by species effects. All models were run in the statistical freeware R [</w:t>
      </w:r>
      <w:hyperlink r:id="rId78" w:anchor="grl29360-bib-0044" w:history="1">
        <w:r w:rsidRPr="003C5914">
          <w:rPr>
            <w:rFonts w:ascii="Times New Roman" w:eastAsia="Times New Roman" w:hAnsi="Times New Roman" w:cs="Times New Roman"/>
            <w:b/>
            <w:bCs/>
            <w:i/>
            <w:iCs/>
            <w:color w:val="005293"/>
            <w:u w:val="single"/>
          </w:rPr>
          <w:t>R Development Core Team</w:t>
        </w:r>
        <w:r w:rsidRPr="003C5914">
          <w:rPr>
            <w:rFonts w:ascii="Times New Roman" w:eastAsia="Times New Roman" w:hAnsi="Times New Roman" w:cs="Times New Roman"/>
            <w:b/>
            <w:bCs/>
            <w:color w:val="005293"/>
            <w:u w:val="single"/>
          </w:rPr>
          <w:t>, 2010</w:t>
        </w:r>
      </w:hyperlink>
      <w:r w:rsidRPr="003C5914">
        <w:rPr>
          <w:rFonts w:ascii="Times New Roman" w:eastAsia="Times New Roman" w:hAnsi="Times New Roman" w:cs="Times New Roman"/>
          <w:color w:val="1C1D1E"/>
        </w:rPr>
        <w:t>].</w:t>
      </w:r>
    </w:p>
    <w:p w14:paraId="22DC9DB5" w14:textId="77777777" w:rsidR="004E6167" w:rsidRPr="003C5914" w:rsidRDefault="004E6167" w:rsidP="003C5914">
      <w:pPr>
        <w:shd w:val="clear" w:color="auto" w:fill="FFFFFF"/>
        <w:rPr>
          <w:rFonts w:ascii="Times New Roman" w:eastAsia="Times New Roman" w:hAnsi="Times New Roman" w:cs="Times New Roman"/>
          <w:color w:val="1C1D1E"/>
        </w:rPr>
      </w:pPr>
      <w:r w:rsidRPr="003C5914">
        <w:rPr>
          <w:rFonts w:ascii="Times New Roman" w:eastAsia="Times New Roman" w:hAnsi="Times New Roman" w:cs="Times New Roman"/>
          <w:color w:val="1C1D1E"/>
        </w:rPr>
        <w:t>[10] To confirm that trunk‐wood had the potential to produce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in October 2011 we removed bark‐to‐pith increment cores from the same trees, sectioned them to fit in 37‐mL anaerobic bottles, flushed them with 50 mL of 100%‐N</w:t>
      </w:r>
      <w:r w:rsidRPr="003C5914">
        <w:rPr>
          <w:rFonts w:ascii="Times New Roman" w:eastAsia="Times New Roman" w:hAnsi="Times New Roman" w:cs="Times New Roman"/>
          <w:color w:val="1C1D1E"/>
          <w:vertAlign w:val="subscript"/>
        </w:rPr>
        <w:t>2</w:t>
      </w:r>
      <w:r w:rsidRPr="003C5914">
        <w:rPr>
          <w:rFonts w:ascii="Times New Roman" w:eastAsia="Times New Roman" w:hAnsi="Times New Roman" w:cs="Times New Roman"/>
          <w:color w:val="1C1D1E"/>
        </w:rPr>
        <w:t> and returned them to the laboratory within 12 h of collection. Headspaces were flushed again with N</w:t>
      </w:r>
      <w:r w:rsidRPr="003C5914">
        <w:rPr>
          <w:rFonts w:ascii="Times New Roman" w:eastAsia="Times New Roman" w:hAnsi="Times New Roman" w:cs="Times New Roman"/>
          <w:color w:val="1C1D1E"/>
          <w:vertAlign w:val="subscript"/>
        </w:rPr>
        <w:t>2</w:t>
      </w:r>
      <w:r w:rsidRPr="003C5914">
        <w:rPr>
          <w:rFonts w:ascii="Times New Roman" w:eastAsia="Times New Roman" w:hAnsi="Times New Roman" w:cs="Times New Roman"/>
          <w:color w:val="1C1D1E"/>
        </w:rPr>
        <w:t> for 3 min at 1 L·min</w:t>
      </w:r>
      <w:r w:rsidRPr="003C5914">
        <w:rPr>
          <w:rFonts w:ascii="Times New Roman" w:eastAsia="Times New Roman" w:hAnsi="Times New Roman" w:cs="Times New Roman"/>
          <w:color w:val="1C1D1E"/>
          <w:vertAlign w:val="superscript"/>
        </w:rPr>
        <w:t>−1</w:t>
      </w:r>
      <w:r w:rsidRPr="003C5914">
        <w:rPr>
          <w:rFonts w:ascii="Times New Roman" w:eastAsia="Times New Roman" w:hAnsi="Times New Roman" w:cs="Times New Roman"/>
          <w:color w:val="1C1D1E"/>
        </w:rPr>
        <w:t>and incubated for 12 h at 20°C, after which a 15 mL sample was withdrawn and measured in the same manner as the trunk‐gas samples. These lab assays only provide evidence for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production from trunk wood and rate comparisons are probably not reliable. For example,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production can drop rapidly following disturbance of methanogenic communities and similar assays with wetwood‐infected materials show that N</w:t>
      </w:r>
      <w:r w:rsidRPr="003C5914">
        <w:rPr>
          <w:rFonts w:ascii="Times New Roman" w:eastAsia="Times New Roman" w:hAnsi="Times New Roman" w:cs="Times New Roman"/>
          <w:color w:val="1C1D1E"/>
          <w:vertAlign w:val="subscript"/>
        </w:rPr>
        <w:t>2</w:t>
      </w:r>
      <w:r w:rsidRPr="003C5914">
        <w:rPr>
          <w:rFonts w:ascii="Times New Roman" w:eastAsia="Times New Roman" w:hAnsi="Times New Roman" w:cs="Times New Roman"/>
          <w:color w:val="1C1D1E"/>
        </w:rPr>
        <w:t xml:space="preserve"> assays underestimate production potentials by a factor of </w:t>
      </w:r>
      <w:r w:rsidRPr="003C5914">
        <w:rPr>
          <w:rFonts w:ascii="Cambria Math" w:eastAsia="Times New Roman" w:hAnsi="Cambria Math" w:cs="Cambria Math"/>
          <w:color w:val="1C1D1E"/>
        </w:rPr>
        <w:t>∼</w:t>
      </w:r>
      <w:r w:rsidRPr="003C5914">
        <w:rPr>
          <w:rFonts w:ascii="Times New Roman" w:eastAsia="Times New Roman" w:hAnsi="Times New Roman" w:cs="Times New Roman"/>
          <w:color w:val="1C1D1E"/>
        </w:rPr>
        <w:t>3 [</w:t>
      </w:r>
      <w:hyperlink r:id="rId79" w:anchor="grl29360-bib-0039" w:history="1">
        <w:r w:rsidRPr="003C5914">
          <w:rPr>
            <w:rFonts w:ascii="Times New Roman" w:eastAsia="Times New Roman" w:hAnsi="Times New Roman" w:cs="Times New Roman"/>
            <w:b/>
            <w:bCs/>
            <w:i/>
            <w:iCs/>
            <w:color w:val="005293"/>
            <w:u w:val="single"/>
          </w:rPr>
          <w:t>Mukhin and Voronin</w:t>
        </w:r>
        <w:r w:rsidRPr="003C5914">
          <w:rPr>
            <w:rFonts w:ascii="Times New Roman" w:eastAsia="Times New Roman" w:hAnsi="Times New Roman" w:cs="Times New Roman"/>
            <w:b/>
            <w:bCs/>
            <w:color w:val="005293"/>
            <w:u w:val="single"/>
          </w:rPr>
          <w:t>, 2011</w:t>
        </w:r>
      </w:hyperlink>
      <w:r w:rsidRPr="003C5914">
        <w:rPr>
          <w:rFonts w:ascii="Times New Roman" w:eastAsia="Times New Roman" w:hAnsi="Times New Roman" w:cs="Times New Roman"/>
          <w:color w:val="1C1D1E"/>
        </w:rPr>
        <w:t>; </w:t>
      </w:r>
      <w:hyperlink r:id="rId80" w:anchor="grl29360-bib-0063" w:history="1">
        <w:r w:rsidRPr="003C5914">
          <w:rPr>
            <w:rFonts w:ascii="Times New Roman" w:eastAsia="Times New Roman" w:hAnsi="Times New Roman" w:cs="Times New Roman"/>
            <w:b/>
            <w:bCs/>
            <w:i/>
            <w:iCs/>
            <w:color w:val="005293"/>
            <w:u w:val="single"/>
          </w:rPr>
          <w:t>Zeikus and Ward</w:t>
        </w:r>
        <w:r w:rsidRPr="003C5914">
          <w:rPr>
            <w:rFonts w:ascii="Times New Roman" w:eastAsia="Times New Roman" w:hAnsi="Times New Roman" w:cs="Times New Roman"/>
            <w:b/>
            <w:bCs/>
            <w:color w:val="005293"/>
            <w:u w:val="single"/>
          </w:rPr>
          <w:t>, 1974</w:t>
        </w:r>
      </w:hyperlink>
      <w:r w:rsidRPr="003C5914">
        <w:rPr>
          <w:rFonts w:ascii="Times New Roman" w:eastAsia="Times New Roman" w:hAnsi="Times New Roman" w:cs="Times New Roman"/>
          <w:color w:val="1C1D1E"/>
        </w:rPr>
        <w:t>].</w:t>
      </w:r>
    </w:p>
    <w:p w14:paraId="049AF197" w14:textId="77777777" w:rsidR="004E6167" w:rsidRPr="003C5914" w:rsidRDefault="004E6167" w:rsidP="003C5914">
      <w:pPr>
        <w:shd w:val="clear" w:color="auto" w:fill="FFFFFF"/>
        <w:outlineLvl w:val="2"/>
        <w:rPr>
          <w:rFonts w:ascii="Times New Roman" w:eastAsia="Times New Roman" w:hAnsi="Times New Roman" w:cs="Times New Roman"/>
          <w:color w:val="1F1F1F"/>
        </w:rPr>
      </w:pPr>
      <w:r w:rsidRPr="003C5914">
        <w:rPr>
          <w:rFonts w:ascii="Times New Roman" w:eastAsia="Times New Roman" w:hAnsi="Times New Roman" w:cs="Times New Roman"/>
          <w:color w:val="1F1F1F"/>
        </w:rPr>
        <w:t>2.2. Scaling to Field Rates for Upland Forest</w:t>
      </w:r>
    </w:p>
    <w:p w14:paraId="4732D03F" w14:textId="77777777" w:rsidR="004E6167" w:rsidRPr="003C5914" w:rsidRDefault="004E6167" w:rsidP="003C5914">
      <w:pPr>
        <w:shd w:val="clear" w:color="auto" w:fill="FFFFFF"/>
        <w:rPr>
          <w:rFonts w:ascii="Times New Roman" w:eastAsia="Times New Roman" w:hAnsi="Times New Roman" w:cs="Times New Roman"/>
          <w:color w:val="1C1D1E"/>
        </w:rPr>
      </w:pPr>
      <w:r w:rsidRPr="003C5914">
        <w:rPr>
          <w:rFonts w:ascii="Times New Roman" w:eastAsia="Times New Roman" w:hAnsi="Times New Roman" w:cs="Times New Roman"/>
          <w:color w:val="1C1D1E"/>
        </w:rPr>
        <w:t>[11] Past work investigating tree‐mediated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transport from anoxic soils has demonstrated that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diffuses through bark [</w:t>
      </w:r>
      <w:hyperlink r:id="rId81" w:anchor="grl29360-bib-0019" w:history="1">
        <w:r w:rsidRPr="003C5914">
          <w:rPr>
            <w:rFonts w:ascii="Times New Roman" w:eastAsia="Times New Roman" w:hAnsi="Times New Roman" w:cs="Times New Roman"/>
            <w:b/>
            <w:bCs/>
            <w:i/>
            <w:iCs/>
            <w:color w:val="005293"/>
            <w:u w:val="single"/>
          </w:rPr>
          <w:t>Gauci et al.</w:t>
        </w:r>
        <w:r w:rsidRPr="003C5914">
          <w:rPr>
            <w:rFonts w:ascii="Times New Roman" w:eastAsia="Times New Roman" w:hAnsi="Times New Roman" w:cs="Times New Roman"/>
            <w:b/>
            <w:bCs/>
            <w:color w:val="005293"/>
            <w:u w:val="single"/>
          </w:rPr>
          <w:t>, 2010</w:t>
        </w:r>
      </w:hyperlink>
      <w:r w:rsidRPr="003C5914">
        <w:rPr>
          <w:rFonts w:ascii="Times New Roman" w:eastAsia="Times New Roman" w:hAnsi="Times New Roman" w:cs="Times New Roman"/>
          <w:color w:val="1C1D1E"/>
        </w:rPr>
        <w:t>; </w:t>
      </w:r>
      <w:hyperlink r:id="rId82" w:anchor="grl29360-bib-0043" w:history="1">
        <w:r w:rsidRPr="003C5914">
          <w:rPr>
            <w:rFonts w:ascii="Times New Roman" w:eastAsia="Times New Roman" w:hAnsi="Times New Roman" w:cs="Times New Roman"/>
            <w:b/>
            <w:bCs/>
            <w:i/>
            <w:iCs/>
            <w:color w:val="005293"/>
            <w:u w:val="single"/>
          </w:rPr>
          <w:t>Pulliam</w:t>
        </w:r>
        <w:r w:rsidRPr="003C5914">
          <w:rPr>
            <w:rFonts w:ascii="Times New Roman" w:eastAsia="Times New Roman" w:hAnsi="Times New Roman" w:cs="Times New Roman"/>
            <w:b/>
            <w:bCs/>
            <w:color w:val="005293"/>
            <w:u w:val="single"/>
          </w:rPr>
          <w:t>, 1992</w:t>
        </w:r>
      </w:hyperlink>
      <w:r w:rsidRPr="003C5914">
        <w:rPr>
          <w:rFonts w:ascii="Times New Roman" w:eastAsia="Times New Roman" w:hAnsi="Times New Roman" w:cs="Times New Roman"/>
          <w:color w:val="1C1D1E"/>
        </w:rPr>
        <w:t>; </w:t>
      </w:r>
      <w:hyperlink r:id="rId83" w:anchor="grl29360-bib-0047" w:history="1">
        <w:r w:rsidRPr="003C5914">
          <w:rPr>
            <w:rFonts w:ascii="Times New Roman" w:eastAsia="Times New Roman" w:hAnsi="Times New Roman" w:cs="Times New Roman"/>
            <w:b/>
            <w:bCs/>
            <w:i/>
            <w:iCs/>
            <w:color w:val="005293"/>
            <w:u w:val="single"/>
          </w:rPr>
          <w:t>Rusch and Rennenberg</w:t>
        </w:r>
        <w:r w:rsidRPr="003C5914">
          <w:rPr>
            <w:rFonts w:ascii="Times New Roman" w:eastAsia="Times New Roman" w:hAnsi="Times New Roman" w:cs="Times New Roman"/>
            <w:b/>
            <w:bCs/>
            <w:color w:val="005293"/>
            <w:u w:val="single"/>
          </w:rPr>
          <w:t>, 1998</w:t>
        </w:r>
      </w:hyperlink>
      <w:r w:rsidRPr="003C5914">
        <w:rPr>
          <w:rFonts w:ascii="Times New Roman" w:eastAsia="Times New Roman" w:hAnsi="Times New Roman" w:cs="Times New Roman"/>
          <w:color w:val="1C1D1E"/>
        </w:rPr>
        <w:t>; </w:t>
      </w:r>
      <w:hyperlink r:id="rId84" w:anchor="grl29360-bib-0056" w:history="1">
        <w:r w:rsidRPr="003C5914">
          <w:rPr>
            <w:rFonts w:ascii="Times New Roman" w:eastAsia="Times New Roman" w:hAnsi="Times New Roman" w:cs="Times New Roman"/>
            <w:b/>
            <w:bCs/>
            <w:i/>
            <w:iCs/>
            <w:color w:val="005293"/>
            <w:u w:val="single"/>
          </w:rPr>
          <w:t>Terazawa et al.</w:t>
        </w:r>
        <w:r w:rsidRPr="003C5914">
          <w:rPr>
            <w:rFonts w:ascii="Times New Roman" w:eastAsia="Times New Roman" w:hAnsi="Times New Roman" w:cs="Times New Roman"/>
            <w:b/>
            <w:bCs/>
            <w:color w:val="005293"/>
            <w:u w:val="single"/>
          </w:rPr>
          <w:t>, 2007</w:t>
        </w:r>
      </w:hyperlink>
      <w:r w:rsidRPr="003C5914">
        <w:rPr>
          <w:rFonts w:ascii="Times New Roman" w:eastAsia="Times New Roman" w:hAnsi="Times New Roman" w:cs="Times New Roman"/>
          <w:color w:val="1C1D1E"/>
        </w:rPr>
        <w:t>], and studies of other trunk gases have shown bark flux rates are positively and linearly related to trunk gas concentrations [</w:t>
      </w:r>
      <w:hyperlink r:id="rId85" w:anchor="grl29360-bib-0055" w:history="1">
        <w:r w:rsidRPr="003C5914">
          <w:rPr>
            <w:rFonts w:ascii="Times New Roman" w:eastAsia="Times New Roman" w:hAnsi="Times New Roman" w:cs="Times New Roman"/>
            <w:b/>
            <w:bCs/>
            <w:i/>
            <w:iCs/>
            <w:color w:val="005293"/>
            <w:u w:val="single"/>
          </w:rPr>
          <w:t>Steppe et al.</w:t>
        </w:r>
        <w:r w:rsidRPr="003C5914">
          <w:rPr>
            <w:rFonts w:ascii="Times New Roman" w:eastAsia="Times New Roman" w:hAnsi="Times New Roman" w:cs="Times New Roman"/>
            <w:b/>
            <w:bCs/>
            <w:color w:val="005293"/>
            <w:u w:val="single"/>
          </w:rPr>
          <w:t>, 2007</w:t>
        </w:r>
      </w:hyperlink>
      <w:r w:rsidRPr="003C5914">
        <w:rPr>
          <w:rFonts w:ascii="Times New Roman" w:eastAsia="Times New Roman" w:hAnsi="Times New Roman" w:cs="Times New Roman"/>
          <w:color w:val="1C1D1E"/>
        </w:rPr>
        <w:t>]. Given these relationships, we estimated </w:t>
      </w:r>
      <w:r w:rsidRPr="003C5914">
        <w:rPr>
          <w:rFonts w:ascii="Times New Roman" w:eastAsia="Times New Roman" w:hAnsi="Times New Roman" w:cs="Times New Roman"/>
          <w:i/>
          <w:iCs/>
          <w:color w:val="1C1D1E"/>
        </w:rPr>
        <w:t>in situ</w:t>
      </w:r>
      <w:r w:rsidRPr="003C5914">
        <w:rPr>
          <w:rFonts w:ascii="Times New Roman" w:eastAsia="Times New Roman" w:hAnsi="Times New Roman" w:cs="Times New Roman"/>
          <w:color w:val="1C1D1E"/>
        </w:rPr>
        <w:t>bark effluxes for our upland site from trunk‐gas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concentrations and radial diffusivity in wood. Ignoring longitudinal diffusion, we obtain the diffusion equation in the cylinder coordinate as:</w:t>
      </w:r>
    </w:p>
    <w:p w14:paraId="036BE90B" w14:textId="77777777" w:rsidR="004E6167" w:rsidRPr="003C5914" w:rsidRDefault="004E6167" w:rsidP="003C5914">
      <w:pPr>
        <w:shd w:val="clear" w:color="auto" w:fill="FFFFFF"/>
        <w:rPr>
          <w:rFonts w:ascii="Times New Roman" w:eastAsia="Times New Roman" w:hAnsi="Times New Roman" w:cs="Times New Roman"/>
          <w:color w:val="1C1D1E"/>
        </w:rPr>
      </w:pPr>
      <w:r w:rsidRPr="003C5914">
        <w:rPr>
          <w:rFonts w:ascii="Times New Roman" w:eastAsia="Times New Roman" w:hAnsi="Times New Roman" w:cs="Times New Roman"/>
          <w:noProof/>
          <w:color w:val="1C1D1E"/>
        </w:rPr>
        <w:lastRenderedPageBreak/>
        <w:drawing>
          <wp:inline distT="0" distB="0" distL="0" distR="0" wp14:anchorId="27AC0D59" wp14:editId="0E88DFBC">
            <wp:extent cx="1371600" cy="361950"/>
            <wp:effectExtent l="0" t="0" r="0" b="0"/>
            <wp:docPr id="2" name="Picture 2" descr="urn:x-wiley:00948276:media:grl29360:grl29360-math-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rn:x-wiley:00948276:media:grl29360:grl29360-math-0001"/>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1371600" cy="361950"/>
                    </a:xfrm>
                    <a:prstGeom prst="rect">
                      <a:avLst/>
                    </a:prstGeom>
                    <a:noFill/>
                    <a:ln>
                      <a:noFill/>
                    </a:ln>
                  </pic:spPr>
                </pic:pic>
              </a:graphicData>
            </a:graphic>
          </wp:inline>
        </w:drawing>
      </w:r>
    </w:p>
    <w:p w14:paraId="5DD7EA8A" w14:textId="77777777" w:rsidR="004E6167" w:rsidRPr="003C5914" w:rsidRDefault="004E6167" w:rsidP="003C5914">
      <w:pPr>
        <w:shd w:val="clear" w:color="auto" w:fill="FFFFFF"/>
        <w:rPr>
          <w:rFonts w:ascii="Times New Roman" w:eastAsia="Times New Roman" w:hAnsi="Times New Roman" w:cs="Times New Roman"/>
          <w:color w:val="1C1D1E"/>
        </w:rPr>
      </w:pPr>
      <w:r w:rsidRPr="003C5914">
        <w:rPr>
          <w:rFonts w:ascii="Times New Roman" w:eastAsia="Times New Roman" w:hAnsi="Times New Roman" w:cs="Times New Roman"/>
          <w:color w:val="1C1D1E"/>
        </w:rPr>
        <w:t>where </w:t>
      </w:r>
      <w:r w:rsidRPr="003C5914">
        <w:rPr>
          <w:rFonts w:ascii="Times New Roman" w:eastAsia="Times New Roman" w:hAnsi="Times New Roman" w:cs="Times New Roman"/>
          <w:i/>
          <w:iCs/>
          <w:color w:val="1C1D1E"/>
        </w:rPr>
        <w:t>F</w:t>
      </w:r>
      <w:r w:rsidRPr="003C5914">
        <w:rPr>
          <w:rFonts w:ascii="Times New Roman" w:eastAsia="Times New Roman" w:hAnsi="Times New Roman" w:cs="Times New Roman"/>
          <w:color w:val="1C1D1E"/>
        </w:rPr>
        <w:t> is the radial diffusion flux, </w:t>
      </w:r>
      <w:r w:rsidRPr="003C5914">
        <w:rPr>
          <w:rFonts w:ascii="Times New Roman" w:eastAsia="Times New Roman" w:hAnsi="Times New Roman" w:cs="Times New Roman"/>
          <w:i/>
          <w:iCs/>
          <w:color w:val="1C1D1E"/>
        </w:rPr>
        <w:t>f</w:t>
      </w:r>
      <w:r w:rsidRPr="003C5914">
        <w:rPr>
          <w:rFonts w:ascii="Times New Roman" w:eastAsia="Times New Roman" w:hAnsi="Times New Roman" w:cs="Times New Roman"/>
          <w:color w:val="1C1D1E"/>
        </w:rPr>
        <w:t> is a radial diffusivity scale factor (= 0.017) [</w:t>
      </w:r>
      <w:hyperlink r:id="rId87" w:anchor="grl29360-bib-0066" w:history="1">
        <w:r w:rsidRPr="003C5914">
          <w:rPr>
            <w:rFonts w:ascii="Times New Roman" w:eastAsia="Times New Roman" w:hAnsi="Times New Roman" w:cs="Times New Roman"/>
            <w:i/>
            <w:iCs/>
            <w:color w:val="005293"/>
            <w:u w:val="single"/>
          </w:rPr>
          <w:t>Zohoun et al.</w:t>
        </w:r>
        <w:r w:rsidRPr="003C5914">
          <w:rPr>
            <w:rFonts w:ascii="Times New Roman" w:eastAsia="Times New Roman" w:hAnsi="Times New Roman" w:cs="Times New Roman"/>
            <w:color w:val="005293"/>
            <w:u w:val="single"/>
          </w:rPr>
          <w:t>, 2003</w:t>
        </w:r>
      </w:hyperlink>
      <w:r w:rsidRPr="003C5914">
        <w:rPr>
          <w:rFonts w:ascii="Times New Roman" w:eastAsia="Times New Roman" w:hAnsi="Times New Roman" w:cs="Times New Roman"/>
          <w:color w:val="1C1D1E"/>
        </w:rPr>
        <w:t>] similar to the tortuosity factor used to describe gas diffusion in soils, </w:t>
      </w:r>
      <w:r w:rsidRPr="003C5914">
        <w:rPr>
          <w:rFonts w:ascii="Times New Roman" w:eastAsia="Times New Roman" w:hAnsi="Times New Roman" w:cs="Times New Roman"/>
          <w:i/>
          <w:iCs/>
          <w:color w:val="1C1D1E"/>
        </w:rPr>
        <w:t>ρ</w:t>
      </w:r>
      <w:r w:rsidRPr="003C5914">
        <w:rPr>
          <w:rFonts w:ascii="Times New Roman" w:eastAsia="Times New Roman" w:hAnsi="Times New Roman" w:cs="Times New Roman"/>
          <w:color w:val="1C1D1E"/>
        </w:rPr>
        <w:t>is air filled‐porosity estimated to be 0.07 according to the water content reported for wet wood [</w:t>
      </w:r>
      <w:hyperlink r:id="rId88" w:anchor="grl29360-bib-0041" w:history="1">
        <w:r w:rsidRPr="003C5914">
          <w:rPr>
            <w:rFonts w:ascii="Times New Roman" w:eastAsia="Times New Roman" w:hAnsi="Times New Roman" w:cs="Times New Roman"/>
            <w:i/>
            <w:iCs/>
            <w:color w:val="005293"/>
            <w:u w:val="single"/>
          </w:rPr>
          <w:t>Nord‐Larsen et al.</w:t>
        </w:r>
        <w:r w:rsidRPr="003C5914">
          <w:rPr>
            <w:rFonts w:ascii="Times New Roman" w:eastAsia="Times New Roman" w:hAnsi="Times New Roman" w:cs="Times New Roman"/>
            <w:color w:val="005293"/>
            <w:u w:val="single"/>
          </w:rPr>
          <w:t>, 2011</w:t>
        </w:r>
      </w:hyperlink>
      <w:r w:rsidRPr="003C5914">
        <w:rPr>
          <w:rFonts w:ascii="Times New Roman" w:eastAsia="Times New Roman" w:hAnsi="Times New Roman" w:cs="Times New Roman"/>
          <w:color w:val="1C1D1E"/>
        </w:rPr>
        <w:t>], </w:t>
      </w:r>
      <w:r w:rsidRPr="003C5914">
        <w:rPr>
          <w:rFonts w:ascii="Times New Roman" w:eastAsia="Times New Roman" w:hAnsi="Times New Roman" w:cs="Times New Roman"/>
          <w:i/>
          <w:iCs/>
          <w:color w:val="1C1D1E"/>
        </w:rPr>
        <w:t>ρ</w:t>
      </w:r>
      <w:r w:rsidRPr="003C5914">
        <w:rPr>
          <w:rFonts w:ascii="Times New Roman" w:eastAsia="Times New Roman" w:hAnsi="Times New Roman" w:cs="Times New Roman"/>
          <w:color w:val="1C1D1E"/>
          <w:vertAlign w:val="subscript"/>
        </w:rPr>
        <w:t>a</w:t>
      </w:r>
      <w:r w:rsidRPr="003C5914">
        <w:rPr>
          <w:rFonts w:ascii="Times New Roman" w:eastAsia="Times New Roman" w:hAnsi="Times New Roman" w:cs="Times New Roman"/>
          <w:color w:val="1C1D1E"/>
        </w:rPr>
        <w:t> is air density, </w:t>
      </w:r>
      <w:r w:rsidRPr="003C5914">
        <w:rPr>
          <w:rFonts w:ascii="Times New Roman" w:eastAsia="Times New Roman" w:hAnsi="Times New Roman" w:cs="Times New Roman"/>
          <w:i/>
          <w:iCs/>
          <w:color w:val="1C1D1E"/>
        </w:rPr>
        <w:t>D</w:t>
      </w:r>
      <w:r w:rsidRPr="003C5914">
        <w:rPr>
          <w:rFonts w:ascii="Times New Roman" w:eastAsia="Times New Roman" w:hAnsi="Times New Roman" w:cs="Times New Roman"/>
          <w:color w:val="1C1D1E"/>
        </w:rPr>
        <w:t> is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diffusivity in ambient air (= 0.21 cm</w:t>
      </w:r>
      <w:r w:rsidRPr="003C5914">
        <w:rPr>
          <w:rFonts w:ascii="Times New Roman" w:eastAsia="Times New Roman" w:hAnsi="Times New Roman" w:cs="Times New Roman"/>
          <w:color w:val="1C1D1E"/>
          <w:vertAlign w:val="superscript"/>
        </w:rPr>
        <w:t>2</w:t>
      </w:r>
      <w:r w:rsidRPr="003C5914">
        <w:rPr>
          <w:rFonts w:ascii="Times New Roman" w:eastAsia="Times New Roman" w:hAnsi="Times New Roman" w:cs="Times New Roman"/>
          <w:color w:val="1C1D1E"/>
        </w:rPr>
        <w:t> s</w:t>
      </w:r>
      <w:r w:rsidRPr="003C5914">
        <w:rPr>
          <w:rFonts w:ascii="Times New Roman" w:eastAsia="Times New Roman" w:hAnsi="Times New Roman" w:cs="Times New Roman"/>
          <w:color w:val="1C1D1E"/>
          <w:vertAlign w:val="superscript"/>
        </w:rPr>
        <w:t>−1</w:t>
      </w:r>
      <w:r w:rsidRPr="003C5914">
        <w:rPr>
          <w:rFonts w:ascii="Times New Roman" w:eastAsia="Times New Roman" w:hAnsi="Times New Roman" w:cs="Times New Roman"/>
          <w:color w:val="1C1D1E"/>
        </w:rPr>
        <w:t>, [</w:t>
      </w:r>
      <w:hyperlink r:id="rId89" w:anchor="grl29360-bib-0036" w:history="1">
        <w:r w:rsidRPr="003C5914">
          <w:rPr>
            <w:rFonts w:ascii="Times New Roman" w:eastAsia="Times New Roman" w:hAnsi="Times New Roman" w:cs="Times New Roman"/>
            <w:i/>
            <w:iCs/>
            <w:color w:val="005293"/>
            <w:u w:val="single"/>
          </w:rPr>
          <w:t>Massman</w:t>
        </w:r>
        <w:r w:rsidRPr="003C5914">
          <w:rPr>
            <w:rFonts w:ascii="Times New Roman" w:eastAsia="Times New Roman" w:hAnsi="Times New Roman" w:cs="Times New Roman"/>
            <w:color w:val="005293"/>
            <w:u w:val="single"/>
          </w:rPr>
          <w:t>, 1998</w:t>
        </w:r>
      </w:hyperlink>
      <w:r w:rsidRPr="003C5914">
        <w:rPr>
          <w:rFonts w:ascii="Times New Roman" w:eastAsia="Times New Roman" w:hAnsi="Times New Roman" w:cs="Times New Roman"/>
          <w:color w:val="1C1D1E"/>
        </w:rPr>
        <w:t>], </w:t>
      </w:r>
      <w:r w:rsidRPr="003C5914">
        <w:rPr>
          <w:rFonts w:ascii="Times New Roman" w:eastAsia="Times New Roman" w:hAnsi="Times New Roman" w:cs="Times New Roman"/>
          <w:i/>
          <w:iCs/>
          <w:color w:val="1C1D1E"/>
        </w:rPr>
        <w:t>ω</w:t>
      </w:r>
      <w:r w:rsidRPr="003C5914">
        <w:rPr>
          <w:rFonts w:ascii="Times New Roman" w:eastAsia="Times New Roman" w:hAnsi="Times New Roman" w:cs="Times New Roman"/>
          <w:color w:val="1C1D1E"/>
        </w:rPr>
        <w:t> is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molar mixing ratio, and </w:t>
      </w:r>
      <w:r w:rsidRPr="003C5914">
        <w:rPr>
          <w:rFonts w:ascii="Times New Roman" w:eastAsia="Times New Roman" w:hAnsi="Times New Roman" w:cs="Times New Roman"/>
          <w:i/>
          <w:iCs/>
          <w:color w:val="1C1D1E"/>
        </w:rPr>
        <w:t>r</w:t>
      </w:r>
      <w:r w:rsidRPr="003C5914">
        <w:rPr>
          <w:rFonts w:ascii="Times New Roman" w:eastAsia="Times New Roman" w:hAnsi="Times New Roman" w:cs="Times New Roman"/>
          <w:color w:val="1C1D1E"/>
          <w:vertAlign w:val="subscript"/>
        </w:rPr>
        <w:t>1</w:t>
      </w:r>
      <w:r w:rsidRPr="003C5914">
        <w:rPr>
          <w:rFonts w:ascii="Times New Roman" w:eastAsia="Times New Roman" w:hAnsi="Times New Roman" w:cs="Times New Roman"/>
          <w:color w:val="1C1D1E"/>
        </w:rPr>
        <w:t> and </w:t>
      </w:r>
      <w:r w:rsidRPr="003C5914">
        <w:rPr>
          <w:rFonts w:ascii="Times New Roman" w:eastAsia="Times New Roman" w:hAnsi="Times New Roman" w:cs="Times New Roman"/>
          <w:i/>
          <w:iCs/>
          <w:color w:val="1C1D1E"/>
        </w:rPr>
        <w:t>r</w:t>
      </w:r>
      <w:r w:rsidRPr="003C5914">
        <w:rPr>
          <w:rFonts w:ascii="Times New Roman" w:eastAsia="Times New Roman" w:hAnsi="Times New Roman" w:cs="Times New Roman"/>
          <w:color w:val="1C1D1E"/>
          <w:vertAlign w:val="subscript"/>
        </w:rPr>
        <w:t>2</w:t>
      </w:r>
      <w:r w:rsidRPr="003C5914">
        <w:rPr>
          <w:rFonts w:ascii="Times New Roman" w:eastAsia="Times New Roman" w:hAnsi="Times New Roman" w:cs="Times New Roman"/>
          <w:color w:val="1C1D1E"/>
        </w:rPr>
        <w:t> are the radius of the heartwood and tree trunk, respectively. We used the mean tree radius (</w:t>
      </w:r>
      <w:r w:rsidRPr="003C5914">
        <w:rPr>
          <w:rFonts w:ascii="Times New Roman" w:eastAsia="Times New Roman" w:hAnsi="Times New Roman" w:cs="Times New Roman"/>
          <w:i/>
          <w:iCs/>
          <w:color w:val="1C1D1E"/>
        </w:rPr>
        <w:t>r</w:t>
      </w:r>
      <w:r w:rsidRPr="003C5914">
        <w:rPr>
          <w:rFonts w:ascii="Times New Roman" w:eastAsia="Times New Roman" w:hAnsi="Times New Roman" w:cs="Times New Roman"/>
          <w:color w:val="1C1D1E"/>
          <w:vertAlign w:val="subscript"/>
        </w:rPr>
        <w:t>2</w:t>
      </w:r>
      <w:r w:rsidRPr="003C5914">
        <w:rPr>
          <w:rFonts w:ascii="Times New Roman" w:eastAsia="Times New Roman" w:hAnsi="Times New Roman" w:cs="Times New Roman"/>
          <w:color w:val="1C1D1E"/>
        </w:rPr>
        <w:t> = 23.5 cm) and assumed the central half of this radius was heartwood (</w:t>
      </w:r>
      <w:r w:rsidRPr="003C5914">
        <w:rPr>
          <w:rFonts w:ascii="Times New Roman" w:eastAsia="Times New Roman" w:hAnsi="Times New Roman" w:cs="Times New Roman"/>
          <w:i/>
          <w:iCs/>
          <w:color w:val="1C1D1E"/>
        </w:rPr>
        <w:t>r</w:t>
      </w:r>
      <w:r w:rsidRPr="003C5914">
        <w:rPr>
          <w:rFonts w:ascii="Times New Roman" w:eastAsia="Times New Roman" w:hAnsi="Times New Roman" w:cs="Times New Roman"/>
          <w:color w:val="1C1D1E"/>
          <w:vertAlign w:val="subscript"/>
        </w:rPr>
        <w:t>1</w:t>
      </w:r>
      <w:r w:rsidRPr="003C5914">
        <w:rPr>
          <w:rFonts w:ascii="Times New Roman" w:eastAsia="Times New Roman" w:hAnsi="Times New Roman" w:cs="Times New Roman"/>
          <w:color w:val="1C1D1E"/>
        </w:rPr>
        <w:t> = 11.7 cm), giving 11.7 cm of trunk wood for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diffusion. The mixing ratio gradient at </w:t>
      </w:r>
      <w:r w:rsidRPr="003C5914">
        <w:rPr>
          <w:rFonts w:ascii="Times New Roman" w:eastAsia="Times New Roman" w:hAnsi="Times New Roman" w:cs="Times New Roman"/>
          <w:i/>
          <w:iCs/>
          <w:color w:val="1C1D1E"/>
        </w:rPr>
        <w:t>r</w:t>
      </w:r>
      <w:r w:rsidRPr="003C5914">
        <w:rPr>
          <w:rFonts w:ascii="Times New Roman" w:eastAsia="Times New Roman" w:hAnsi="Times New Roman" w:cs="Times New Roman"/>
          <w:color w:val="1C1D1E"/>
          <w:vertAlign w:val="subscript"/>
        </w:rPr>
        <w:t>1</w:t>
      </w:r>
      <w:r w:rsidRPr="003C5914">
        <w:rPr>
          <w:rFonts w:ascii="Times New Roman" w:eastAsia="Times New Roman" w:hAnsi="Times New Roman" w:cs="Times New Roman"/>
          <w:color w:val="1C1D1E"/>
        </w:rPr>
        <w:t> was estimated from the observed difference in the mixing ratio between the trunk air and ambient air. The flux computed from the above equation has the dimensions of </w:t>
      </w:r>
      <w:r w:rsidRPr="003C5914">
        <w:rPr>
          <w:rFonts w:ascii="Times New Roman" w:eastAsia="Times New Roman" w:hAnsi="Times New Roman" w:cs="Times New Roman"/>
          <w:i/>
          <w:iCs/>
          <w:color w:val="1C1D1E"/>
        </w:rPr>
        <w:t>μ</w:t>
      </w:r>
      <w:r w:rsidRPr="003C5914">
        <w:rPr>
          <w:rFonts w:ascii="Times New Roman" w:eastAsia="Times New Roman" w:hAnsi="Times New Roman" w:cs="Times New Roman"/>
          <w:color w:val="1C1D1E"/>
        </w:rPr>
        <w:t>g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m</w:t>
      </w:r>
      <w:r w:rsidRPr="003C5914">
        <w:rPr>
          <w:rFonts w:ascii="Times New Roman" w:eastAsia="Times New Roman" w:hAnsi="Times New Roman" w:cs="Times New Roman"/>
          <w:color w:val="1C1D1E"/>
          <w:vertAlign w:val="superscript"/>
        </w:rPr>
        <w:t>−2</w:t>
      </w:r>
      <w:r w:rsidRPr="003C5914">
        <w:rPr>
          <w:rFonts w:ascii="Times New Roman" w:eastAsia="Times New Roman" w:hAnsi="Times New Roman" w:cs="Times New Roman"/>
          <w:color w:val="1C1D1E"/>
        </w:rPr>
        <w:t> s</w:t>
      </w:r>
      <w:r w:rsidRPr="003C5914">
        <w:rPr>
          <w:rFonts w:ascii="Times New Roman" w:eastAsia="Times New Roman" w:hAnsi="Times New Roman" w:cs="Times New Roman"/>
          <w:color w:val="1C1D1E"/>
          <w:vertAlign w:val="superscript"/>
        </w:rPr>
        <w:t>−1</w:t>
      </w:r>
      <w:r w:rsidRPr="003C5914">
        <w:rPr>
          <w:rFonts w:ascii="Times New Roman" w:eastAsia="Times New Roman" w:hAnsi="Times New Roman" w:cs="Times New Roman"/>
          <w:color w:val="1C1D1E"/>
        </w:rPr>
        <w:t> (unit surface area of the tree trunk) and was converted to </w:t>
      </w:r>
      <w:r w:rsidRPr="003C5914">
        <w:rPr>
          <w:rFonts w:ascii="Times New Roman" w:eastAsia="Times New Roman" w:hAnsi="Times New Roman" w:cs="Times New Roman"/>
          <w:i/>
          <w:iCs/>
          <w:color w:val="1C1D1E"/>
        </w:rPr>
        <w:t>μ</w:t>
      </w:r>
      <w:r w:rsidRPr="003C5914">
        <w:rPr>
          <w:rFonts w:ascii="Times New Roman" w:eastAsia="Times New Roman" w:hAnsi="Times New Roman" w:cs="Times New Roman"/>
          <w:color w:val="1C1D1E"/>
        </w:rPr>
        <w:t>g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m</w:t>
      </w:r>
      <w:r w:rsidRPr="003C5914">
        <w:rPr>
          <w:rFonts w:ascii="Times New Roman" w:eastAsia="Times New Roman" w:hAnsi="Times New Roman" w:cs="Times New Roman"/>
          <w:color w:val="1C1D1E"/>
          <w:vertAlign w:val="superscript"/>
        </w:rPr>
        <w:t>−3</w:t>
      </w:r>
      <w:r w:rsidRPr="003C5914">
        <w:rPr>
          <w:rFonts w:ascii="Times New Roman" w:eastAsia="Times New Roman" w:hAnsi="Times New Roman" w:cs="Times New Roman"/>
          <w:color w:val="1C1D1E"/>
        </w:rPr>
        <w:t> s</w:t>
      </w:r>
      <w:r w:rsidRPr="003C5914">
        <w:rPr>
          <w:rFonts w:ascii="Times New Roman" w:eastAsia="Times New Roman" w:hAnsi="Times New Roman" w:cs="Times New Roman"/>
          <w:color w:val="1C1D1E"/>
          <w:vertAlign w:val="superscript"/>
        </w:rPr>
        <w:t>−1</w:t>
      </w:r>
      <w:r w:rsidRPr="003C5914">
        <w:rPr>
          <w:rFonts w:ascii="Times New Roman" w:eastAsia="Times New Roman" w:hAnsi="Times New Roman" w:cs="Times New Roman"/>
          <w:color w:val="1C1D1E"/>
        </w:rPr>
        <w:t> (unit wood volume) for the purpose of upscaling. Mean calculated flux rates were scaled to per hectare field rates using standing live bole volume (</w:t>
      </w:r>
      <w:hyperlink r:id="rId90" w:anchor="grl29360-tbl-0001" w:tooltip="Link to table" w:history="1">
        <w:r w:rsidRPr="003C5914">
          <w:rPr>
            <w:rFonts w:ascii="Times New Roman" w:eastAsia="Times New Roman" w:hAnsi="Times New Roman" w:cs="Times New Roman"/>
            <w:color w:val="005274"/>
            <w:u w:val="single"/>
          </w:rPr>
          <w:t>Table 1</w:t>
        </w:r>
      </w:hyperlink>
      <w:r w:rsidRPr="003C5914">
        <w:rPr>
          <w:rFonts w:ascii="Times New Roman" w:eastAsia="Times New Roman" w:hAnsi="Times New Roman" w:cs="Times New Roman"/>
          <w:color w:val="1C1D1E"/>
        </w:rPr>
        <w:t>) estimated from region and species‐specific volume equations [</w:t>
      </w:r>
      <w:hyperlink r:id="rId91" w:anchor="grl29360-bib-0038" w:history="1">
        <w:r w:rsidRPr="003C5914">
          <w:rPr>
            <w:rFonts w:ascii="Times New Roman" w:eastAsia="Times New Roman" w:hAnsi="Times New Roman" w:cs="Times New Roman"/>
            <w:i/>
            <w:iCs/>
            <w:color w:val="005293"/>
            <w:u w:val="single"/>
          </w:rPr>
          <w:t>Meyer and Kienholz</w:t>
        </w:r>
        <w:r w:rsidRPr="003C5914">
          <w:rPr>
            <w:rFonts w:ascii="Times New Roman" w:eastAsia="Times New Roman" w:hAnsi="Times New Roman" w:cs="Times New Roman"/>
            <w:color w:val="005293"/>
            <w:u w:val="single"/>
          </w:rPr>
          <w:t>, 1944</w:t>
        </w:r>
      </w:hyperlink>
      <w:r w:rsidRPr="003C5914">
        <w:rPr>
          <w:rFonts w:ascii="Times New Roman" w:eastAsia="Times New Roman" w:hAnsi="Times New Roman" w:cs="Times New Roman"/>
          <w:color w:val="1C1D1E"/>
        </w:rPr>
        <w:t>]. Volumes estimates were based on randomized variable‐radius plot sampling (</w:t>
      </w:r>
      <w:r w:rsidRPr="003C5914">
        <w:rPr>
          <w:rFonts w:ascii="Times New Roman" w:eastAsia="Times New Roman" w:hAnsi="Times New Roman" w:cs="Times New Roman"/>
          <w:i/>
          <w:iCs/>
          <w:color w:val="1C1D1E"/>
        </w:rPr>
        <w:t>n</w:t>
      </w:r>
      <w:r w:rsidRPr="003C5914">
        <w:rPr>
          <w:rFonts w:ascii="Times New Roman" w:eastAsia="Times New Roman" w:hAnsi="Times New Roman" w:cs="Times New Roman"/>
          <w:color w:val="1C1D1E"/>
        </w:rPr>
        <w:t> = 5 plots) in our upland site using a factor 10 basal area prism (Cruise Master, Forestry Suppliers, Jackson, MS, USA). Emissions from those species not sampled (11% of total volume), where scaled using the mean concentration of all sampled species.</w:t>
      </w:r>
    </w:p>
    <w:p w14:paraId="3F4D9C08" w14:textId="77777777" w:rsidR="004E6167" w:rsidRPr="003C5914" w:rsidRDefault="004E6167" w:rsidP="003C5914">
      <w:pPr>
        <w:shd w:val="clear" w:color="auto" w:fill="FFFFFF"/>
        <w:outlineLvl w:val="1"/>
        <w:rPr>
          <w:rFonts w:ascii="Times New Roman" w:eastAsia="Times New Roman" w:hAnsi="Times New Roman" w:cs="Times New Roman"/>
          <w:b/>
          <w:bCs/>
          <w:color w:val="00A185"/>
        </w:rPr>
      </w:pPr>
      <w:r w:rsidRPr="003C5914">
        <w:rPr>
          <w:rFonts w:ascii="Times New Roman" w:eastAsia="Times New Roman" w:hAnsi="Times New Roman" w:cs="Times New Roman"/>
          <w:b/>
          <w:bCs/>
          <w:color w:val="00A185"/>
        </w:rPr>
        <w:t>3. Results and Discussion</w:t>
      </w:r>
    </w:p>
    <w:p w14:paraId="1F67A7F7" w14:textId="77777777" w:rsidR="004E6167" w:rsidRPr="003C5914" w:rsidRDefault="004E6167" w:rsidP="003C5914">
      <w:pPr>
        <w:shd w:val="clear" w:color="auto" w:fill="FFFFFF"/>
        <w:rPr>
          <w:rFonts w:ascii="Times New Roman" w:eastAsia="Times New Roman" w:hAnsi="Times New Roman" w:cs="Times New Roman"/>
          <w:color w:val="1C1D1E"/>
        </w:rPr>
      </w:pPr>
      <w:r w:rsidRPr="003C5914">
        <w:rPr>
          <w:rFonts w:ascii="Times New Roman" w:eastAsia="Times New Roman" w:hAnsi="Times New Roman" w:cs="Times New Roman"/>
          <w:color w:val="1C1D1E"/>
        </w:rPr>
        <w:t>[12] Our data suggest that trees – by supporting environments suitable for classical methanogenesis – could make upland forests significant contributors to global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xml:space="preserve">emissions. </w:t>
      </w:r>
      <w:r w:rsidRPr="003C5914">
        <w:rPr>
          <w:rFonts w:ascii="Times New Roman" w:eastAsia="Times New Roman" w:hAnsi="Times New Roman" w:cs="Times New Roman"/>
          <w:color w:val="1C1D1E"/>
          <w:highlight w:val="yellow"/>
        </w:rPr>
        <w:t>At our upland site, trunk‐gas CH</w:t>
      </w:r>
      <w:r w:rsidRPr="003C5914">
        <w:rPr>
          <w:rFonts w:ascii="Times New Roman" w:eastAsia="Times New Roman" w:hAnsi="Times New Roman" w:cs="Times New Roman"/>
          <w:color w:val="1C1D1E"/>
          <w:highlight w:val="yellow"/>
          <w:vertAlign w:val="subscript"/>
        </w:rPr>
        <w:t>4</w:t>
      </w:r>
      <w:r w:rsidRPr="003C5914">
        <w:rPr>
          <w:rFonts w:ascii="Times New Roman" w:eastAsia="Times New Roman" w:hAnsi="Times New Roman" w:cs="Times New Roman"/>
          <w:color w:val="1C1D1E"/>
          <w:highlight w:val="yellow"/>
        </w:rPr>
        <w:t xml:space="preserve">concentrations were as high as </w:t>
      </w:r>
      <w:r w:rsidRPr="003C5914">
        <w:rPr>
          <w:rFonts w:ascii="Cambria Math" w:eastAsia="Times New Roman" w:hAnsi="Cambria Math" w:cs="Cambria Math"/>
          <w:color w:val="1C1D1E"/>
          <w:highlight w:val="yellow"/>
        </w:rPr>
        <w:t>∼</w:t>
      </w:r>
      <w:r w:rsidRPr="003C5914">
        <w:rPr>
          <w:rFonts w:ascii="Times New Roman" w:eastAsia="Times New Roman" w:hAnsi="Times New Roman" w:cs="Times New Roman"/>
          <w:color w:val="1C1D1E"/>
          <w:highlight w:val="yellow"/>
        </w:rPr>
        <w:t>80,000 times atmospheric,</w:t>
      </w:r>
      <w:r w:rsidRPr="003C5914">
        <w:rPr>
          <w:rFonts w:ascii="Times New Roman" w:eastAsia="Times New Roman" w:hAnsi="Times New Roman" w:cs="Times New Roman"/>
          <w:color w:val="1C1D1E"/>
        </w:rPr>
        <w:t xml:space="preserve"> and mean growing‐season concentrations in the three species (red maple, red oak, black birch;</w:t>
      </w:r>
      <w:hyperlink r:id="rId92" w:anchor="grl29360-tbl-0001" w:tooltip="Link to table" w:history="1">
        <w:r w:rsidRPr="003C5914">
          <w:rPr>
            <w:rFonts w:ascii="Times New Roman" w:eastAsia="Times New Roman" w:hAnsi="Times New Roman" w:cs="Times New Roman"/>
            <w:b/>
            <w:bCs/>
            <w:color w:val="005274"/>
            <w:u w:val="single"/>
          </w:rPr>
          <w:t>Table 1</w:t>
        </w:r>
      </w:hyperlink>
      <w:r w:rsidRPr="003C5914">
        <w:rPr>
          <w:rFonts w:ascii="Times New Roman" w:eastAsia="Times New Roman" w:hAnsi="Times New Roman" w:cs="Times New Roman"/>
          <w:color w:val="1C1D1E"/>
        </w:rPr>
        <w:t>) known to be most susceptible to heart rot were above 15,000 </w:t>
      </w:r>
      <w:r w:rsidRPr="003C5914">
        <w:rPr>
          <w:rFonts w:ascii="Times New Roman" w:eastAsia="Times New Roman" w:hAnsi="Times New Roman" w:cs="Times New Roman"/>
          <w:i/>
          <w:iCs/>
          <w:color w:val="1C1D1E"/>
        </w:rPr>
        <w:t>μ</w:t>
      </w:r>
      <w:r w:rsidRPr="003C5914">
        <w:rPr>
          <w:rFonts w:ascii="Times New Roman" w:eastAsia="Times New Roman" w:hAnsi="Times New Roman" w:cs="Times New Roman"/>
          <w:color w:val="1C1D1E"/>
        </w:rPr>
        <w:t>L L</w:t>
      </w:r>
      <w:r w:rsidRPr="003C5914">
        <w:rPr>
          <w:rFonts w:ascii="Times New Roman" w:eastAsia="Times New Roman" w:hAnsi="Times New Roman" w:cs="Times New Roman"/>
          <w:color w:val="1C1D1E"/>
          <w:vertAlign w:val="superscript"/>
        </w:rPr>
        <w:t>−1</w:t>
      </w:r>
      <w:r w:rsidRPr="003C5914">
        <w:rPr>
          <w:rFonts w:ascii="Times New Roman" w:eastAsia="Times New Roman" w:hAnsi="Times New Roman" w:cs="Times New Roman"/>
          <w:color w:val="1C1D1E"/>
        </w:rPr>
        <w:t> (</w:t>
      </w:r>
      <w:hyperlink r:id="rId93" w:anchor="grl29360-fig-0001" w:history="1">
        <w:r w:rsidRPr="003C5914">
          <w:rPr>
            <w:rFonts w:ascii="Times New Roman" w:eastAsia="Times New Roman" w:hAnsi="Times New Roman" w:cs="Times New Roman"/>
            <w:b/>
            <w:bCs/>
            <w:color w:val="005274"/>
            <w:u w:val="single"/>
          </w:rPr>
          <w:t>Figure 1</w:t>
        </w:r>
      </w:hyperlink>
      <w:r w:rsidRPr="003C5914">
        <w:rPr>
          <w:rFonts w:ascii="Times New Roman" w:eastAsia="Times New Roman" w:hAnsi="Times New Roman" w:cs="Times New Roman"/>
          <w:color w:val="1C1D1E"/>
        </w:rPr>
        <w:t>), leading to species‐level differences in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trunk‐gas concentrations (</w:t>
      </w:r>
      <w:r w:rsidRPr="003C5914">
        <w:rPr>
          <w:rFonts w:ascii="Times New Roman" w:eastAsia="Times New Roman" w:hAnsi="Times New Roman" w:cs="Times New Roman"/>
          <w:i/>
          <w:iCs/>
          <w:color w:val="1C1D1E"/>
        </w:rPr>
        <w:t>P &lt;</w:t>
      </w:r>
      <w:r w:rsidRPr="003C5914">
        <w:rPr>
          <w:rFonts w:ascii="Times New Roman" w:eastAsia="Times New Roman" w:hAnsi="Times New Roman" w:cs="Times New Roman"/>
          <w:color w:val="1C1D1E"/>
        </w:rPr>
        <w:t>0.01). A similar trend across species was present in lab assays with black birch and red maple producing more consistently and at higher rates than the two conifer species studied (eastern white pine, eastern hemlock). These assays confirm the production of significant quantities of methane in outwardly healthy tree wood under anaerobic headspace. The large variation present may be due to high spatial variability of production within individuals or could stem from the sensitivity of microbial communities to disturbance. We assessed increment cores and found visible decay was not correlated with trunk‐gas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concentrations and/or production potentials. This lack of correlation is not surprising, and we would not expect a direct correlation with rot for several reasons. For example, trees may respond to injury and microbial infection by generating anoxia in trunk wood, favoring methanogens but generating little visible decay [</w:t>
      </w:r>
      <w:hyperlink r:id="rId94" w:anchor="grl29360-bib-0052" w:history="1">
        <w:r w:rsidRPr="003C5914">
          <w:rPr>
            <w:rFonts w:ascii="Times New Roman" w:eastAsia="Times New Roman" w:hAnsi="Times New Roman" w:cs="Times New Roman"/>
            <w:b/>
            <w:bCs/>
            <w:i/>
            <w:iCs/>
            <w:color w:val="005293"/>
            <w:u w:val="single"/>
          </w:rPr>
          <w:t>Shortle</w:t>
        </w:r>
        <w:r w:rsidRPr="003C5914">
          <w:rPr>
            <w:rFonts w:ascii="Times New Roman" w:eastAsia="Times New Roman" w:hAnsi="Times New Roman" w:cs="Times New Roman"/>
            <w:b/>
            <w:bCs/>
            <w:color w:val="005293"/>
            <w:u w:val="single"/>
          </w:rPr>
          <w:t>, 1979</w:t>
        </w:r>
      </w:hyperlink>
      <w:r w:rsidRPr="003C5914">
        <w:rPr>
          <w:rFonts w:ascii="Times New Roman" w:eastAsia="Times New Roman" w:hAnsi="Times New Roman" w:cs="Times New Roman"/>
          <w:color w:val="1C1D1E"/>
        </w:rPr>
        <w:t>]. It is at these decay frontiers where microsites favoring methanogenesis are most likely to occur and advanced decay would likely reduce or shut‐down methanogenesis because it increases permeability facilitating O</w:t>
      </w:r>
      <w:r w:rsidRPr="003C5914">
        <w:rPr>
          <w:rFonts w:ascii="Times New Roman" w:eastAsia="Times New Roman" w:hAnsi="Times New Roman" w:cs="Times New Roman"/>
          <w:color w:val="1C1D1E"/>
          <w:vertAlign w:val="subscript"/>
        </w:rPr>
        <w:t>2</w:t>
      </w:r>
      <w:r w:rsidRPr="003C5914">
        <w:rPr>
          <w:rFonts w:ascii="Times New Roman" w:eastAsia="Times New Roman" w:hAnsi="Times New Roman" w:cs="Times New Roman"/>
          <w:color w:val="1C1D1E"/>
        </w:rPr>
        <w:t> diffusion [</w:t>
      </w:r>
      <w:hyperlink r:id="rId95" w:anchor="grl29360-bib-0051" w:history="1">
        <w:r w:rsidRPr="003C5914">
          <w:rPr>
            <w:rFonts w:ascii="Times New Roman" w:eastAsia="Times New Roman" w:hAnsi="Times New Roman" w:cs="Times New Roman"/>
            <w:b/>
            <w:bCs/>
            <w:i/>
            <w:iCs/>
            <w:color w:val="005293"/>
            <w:u w:val="single"/>
          </w:rPr>
          <w:t>Schwarze</w:t>
        </w:r>
        <w:r w:rsidRPr="003C5914">
          <w:rPr>
            <w:rFonts w:ascii="Times New Roman" w:eastAsia="Times New Roman" w:hAnsi="Times New Roman" w:cs="Times New Roman"/>
            <w:b/>
            <w:bCs/>
            <w:color w:val="005293"/>
            <w:u w:val="single"/>
          </w:rPr>
          <w:t>, 2007</w:t>
        </w:r>
      </w:hyperlink>
      <w:r w:rsidRPr="003C5914">
        <w:rPr>
          <w:rFonts w:ascii="Times New Roman" w:eastAsia="Times New Roman" w:hAnsi="Times New Roman" w:cs="Times New Roman"/>
          <w:color w:val="1C1D1E"/>
        </w:rPr>
        <w:t>; </w:t>
      </w:r>
      <w:hyperlink r:id="rId96" w:anchor="grl29360-bib-0054" w:history="1">
        <w:r w:rsidRPr="003C5914">
          <w:rPr>
            <w:rFonts w:ascii="Times New Roman" w:eastAsia="Times New Roman" w:hAnsi="Times New Roman" w:cs="Times New Roman"/>
            <w:b/>
            <w:bCs/>
            <w:i/>
            <w:iCs/>
            <w:color w:val="005293"/>
            <w:u w:val="single"/>
          </w:rPr>
          <w:t>Sorz and Hietz</w:t>
        </w:r>
        <w:r w:rsidRPr="003C5914">
          <w:rPr>
            <w:rFonts w:ascii="Times New Roman" w:eastAsia="Times New Roman" w:hAnsi="Times New Roman" w:cs="Times New Roman"/>
            <w:b/>
            <w:bCs/>
            <w:color w:val="005293"/>
            <w:u w:val="single"/>
          </w:rPr>
          <w:t>, 2006</w:t>
        </w:r>
      </w:hyperlink>
      <w:r w:rsidRPr="003C5914">
        <w:rPr>
          <w:rFonts w:ascii="Times New Roman" w:eastAsia="Times New Roman" w:hAnsi="Times New Roman" w:cs="Times New Roman"/>
          <w:color w:val="1C1D1E"/>
        </w:rPr>
        <w:t>]. Notably, in the upland site, we had a red maple individual in which the center was hollow and trunk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concentrations approximated those in ambient air.</w:t>
      </w:r>
    </w:p>
    <w:p w14:paraId="66A36607" w14:textId="77777777" w:rsidR="004E6167" w:rsidRPr="003C5914" w:rsidRDefault="004E6167" w:rsidP="003C5914">
      <w:pPr>
        <w:shd w:val="clear" w:color="auto" w:fill="FFFFFF"/>
        <w:rPr>
          <w:rFonts w:ascii="Times New Roman" w:eastAsia="Times New Roman" w:hAnsi="Times New Roman" w:cs="Times New Roman"/>
          <w:color w:val="1C1D1E"/>
        </w:rPr>
      </w:pPr>
      <w:r w:rsidRPr="003C5914">
        <w:rPr>
          <w:rFonts w:ascii="Times New Roman" w:eastAsia="Times New Roman" w:hAnsi="Times New Roman" w:cs="Times New Roman"/>
          <w:noProof/>
          <w:color w:val="005274"/>
        </w:rPr>
        <w:lastRenderedPageBreak/>
        <w:drawing>
          <wp:inline distT="0" distB="0" distL="0" distR="0" wp14:anchorId="33FBDEF4" wp14:editId="60A4FE32">
            <wp:extent cx="5429250" cy="6781800"/>
            <wp:effectExtent l="0" t="0" r="0" b="0"/>
            <wp:docPr id="3" name="Picture 3" descr="image">
              <a:hlinkClick xmlns:a="http://schemas.openxmlformats.org/drawingml/2006/main" r:id="rId9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a:hlinkClick r:id="rId97" tgtFrame="&quot;_blank&quot;"/>
                    </pic:cNvPr>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5429250" cy="6781800"/>
                    </a:xfrm>
                    <a:prstGeom prst="rect">
                      <a:avLst/>
                    </a:prstGeom>
                    <a:noFill/>
                    <a:ln>
                      <a:noFill/>
                    </a:ln>
                  </pic:spPr>
                </pic:pic>
              </a:graphicData>
            </a:graphic>
          </wp:inline>
        </w:drawing>
      </w:r>
    </w:p>
    <w:p w14:paraId="258DF655" w14:textId="77777777" w:rsidR="004E6167" w:rsidRPr="003C5914" w:rsidRDefault="004E6167" w:rsidP="003C5914">
      <w:pPr>
        <w:shd w:val="clear" w:color="auto" w:fill="FFFFFF"/>
        <w:rPr>
          <w:rFonts w:ascii="Times New Roman" w:eastAsia="Times New Roman" w:hAnsi="Times New Roman" w:cs="Times New Roman"/>
          <w:color w:val="1C1D1E"/>
        </w:rPr>
      </w:pPr>
      <w:r w:rsidRPr="003C5914">
        <w:rPr>
          <w:rFonts w:ascii="Times New Roman" w:eastAsia="Times New Roman" w:hAnsi="Times New Roman" w:cs="Times New Roman"/>
          <w:b/>
          <w:bCs/>
          <w:color w:val="212121"/>
        </w:rPr>
        <w:t>Figure 1</w:t>
      </w:r>
    </w:p>
    <w:p w14:paraId="522FE1E9" w14:textId="77777777" w:rsidR="004E6167" w:rsidRPr="003C5914" w:rsidRDefault="00000000" w:rsidP="003C5914">
      <w:pPr>
        <w:shd w:val="clear" w:color="auto" w:fill="FFFFFF"/>
        <w:rPr>
          <w:rFonts w:ascii="Times New Roman" w:eastAsia="Times New Roman" w:hAnsi="Times New Roman" w:cs="Times New Roman"/>
          <w:color w:val="1C1D1E"/>
        </w:rPr>
      </w:pPr>
      <w:hyperlink r:id="rId99" w:history="1">
        <w:r w:rsidR="004E6167" w:rsidRPr="003C5914">
          <w:rPr>
            <w:rFonts w:ascii="Times New Roman" w:eastAsia="Times New Roman" w:hAnsi="Times New Roman" w:cs="Times New Roman"/>
            <w:b/>
            <w:bCs/>
            <w:color w:val="005274"/>
            <w:u w:val="single"/>
          </w:rPr>
          <w:t>Open in figure viewer</w:t>
        </w:r>
      </w:hyperlink>
      <w:hyperlink r:id="rId100" w:history="1">
        <w:r w:rsidR="004E6167" w:rsidRPr="003C5914">
          <w:rPr>
            <w:rFonts w:ascii="Times New Roman" w:eastAsia="Times New Roman" w:hAnsi="Times New Roman" w:cs="Times New Roman"/>
            <w:b/>
            <w:bCs/>
            <w:color w:val="005274"/>
            <w:u w:val="single"/>
          </w:rPr>
          <w:t>PowerPoint</w:t>
        </w:r>
      </w:hyperlink>
    </w:p>
    <w:p w14:paraId="11FA88FB" w14:textId="77777777" w:rsidR="004E6167" w:rsidRPr="003C5914" w:rsidRDefault="004E6167" w:rsidP="003C5914">
      <w:pPr>
        <w:shd w:val="clear" w:color="auto" w:fill="FFFFFF"/>
        <w:rPr>
          <w:rFonts w:ascii="Times New Roman" w:eastAsia="Times New Roman" w:hAnsi="Times New Roman" w:cs="Times New Roman"/>
          <w:color w:val="1C1D1E"/>
        </w:rPr>
      </w:pPr>
      <w:r w:rsidRPr="003C5914">
        <w:rPr>
          <w:rFonts w:ascii="Times New Roman" w:eastAsia="Times New Roman" w:hAnsi="Times New Roman" w:cs="Times New Roman"/>
          <w:color w:val="1C1D1E"/>
        </w:rPr>
        <w:t>Trunk‐gas methane concentrations in</w:t>
      </w:r>
      <w:r w:rsidRPr="003C5914">
        <w:rPr>
          <w:rFonts w:ascii="Times New Roman" w:eastAsia="Times New Roman" w:hAnsi="Times New Roman" w:cs="Times New Roman"/>
          <w:i/>
          <w:iCs/>
          <w:color w:val="1C1D1E"/>
        </w:rPr>
        <w:t>Quercus rubra</w:t>
      </w:r>
      <w:r w:rsidRPr="003C5914">
        <w:rPr>
          <w:rFonts w:ascii="Times New Roman" w:eastAsia="Times New Roman" w:hAnsi="Times New Roman" w:cs="Times New Roman"/>
          <w:color w:val="1C1D1E"/>
        </w:rPr>
        <w:t> (qr: red oak), </w:t>
      </w:r>
      <w:r w:rsidRPr="003C5914">
        <w:rPr>
          <w:rFonts w:ascii="Times New Roman" w:eastAsia="Times New Roman" w:hAnsi="Times New Roman" w:cs="Times New Roman"/>
          <w:i/>
          <w:iCs/>
          <w:color w:val="1C1D1E"/>
        </w:rPr>
        <w:t>Tsuga canadensis</w:t>
      </w:r>
      <w:r w:rsidRPr="003C5914">
        <w:rPr>
          <w:rFonts w:ascii="Times New Roman" w:eastAsia="Times New Roman" w:hAnsi="Times New Roman" w:cs="Times New Roman"/>
          <w:color w:val="1C1D1E"/>
        </w:rPr>
        <w:t> (tc: eastern hemlock), </w:t>
      </w:r>
      <w:r w:rsidRPr="003C5914">
        <w:rPr>
          <w:rFonts w:ascii="Times New Roman" w:eastAsia="Times New Roman" w:hAnsi="Times New Roman" w:cs="Times New Roman"/>
          <w:i/>
          <w:iCs/>
          <w:color w:val="1C1D1E"/>
        </w:rPr>
        <w:t>Betula alleghaniensis</w:t>
      </w:r>
      <w:r w:rsidRPr="003C5914">
        <w:rPr>
          <w:rFonts w:ascii="Times New Roman" w:eastAsia="Times New Roman" w:hAnsi="Times New Roman" w:cs="Times New Roman"/>
          <w:color w:val="1C1D1E"/>
        </w:rPr>
        <w:t> (ba: yellow birch), </w:t>
      </w:r>
      <w:r w:rsidRPr="003C5914">
        <w:rPr>
          <w:rFonts w:ascii="Times New Roman" w:eastAsia="Times New Roman" w:hAnsi="Times New Roman" w:cs="Times New Roman"/>
          <w:i/>
          <w:iCs/>
          <w:color w:val="1C1D1E"/>
        </w:rPr>
        <w:t>Betula lenta</w:t>
      </w:r>
      <w:r w:rsidRPr="003C5914">
        <w:rPr>
          <w:rFonts w:ascii="Times New Roman" w:eastAsia="Times New Roman" w:hAnsi="Times New Roman" w:cs="Times New Roman"/>
          <w:color w:val="1C1D1E"/>
        </w:rPr>
        <w:t> (bl: black birch), </w:t>
      </w:r>
      <w:r w:rsidRPr="003C5914">
        <w:rPr>
          <w:rFonts w:ascii="Times New Roman" w:eastAsia="Times New Roman" w:hAnsi="Times New Roman" w:cs="Times New Roman"/>
          <w:i/>
          <w:iCs/>
          <w:color w:val="1C1D1E"/>
        </w:rPr>
        <w:t>Pinus strobus</w:t>
      </w:r>
      <w:r w:rsidRPr="003C5914">
        <w:rPr>
          <w:rFonts w:ascii="Times New Roman" w:eastAsia="Times New Roman" w:hAnsi="Times New Roman" w:cs="Times New Roman"/>
          <w:color w:val="1C1D1E"/>
        </w:rPr>
        <w:t>(ps: eastern white pine) and </w:t>
      </w:r>
      <w:r w:rsidRPr="003C5914">
        <w:rPr>
          <w:rFonts w:ascii="Times New Roman" w:eastAsia="Times New Roman" w:hAnsi="Times New Roman" w:cs="Times New Roman"/>
          <w:i/>
          <w:iCs/>
          <w:color w:val="1C1D1E"/>
        </w:rPr>
        <w:t>Acer rubrum</w:t>
      </w:r>
      <w:r w:rsidRPr="003C5914">
        <w:rPr>
          <w:rFonts w:ascii="Times New Roman" w:eastAsia="Times New Roman" w:hAnsi="Times New Roman" w:cs="Times New Roman"/>
          <w:color w:val="1C1D1E"/>
        </w:rPr>
        <w:t>(ar: red maple), in lowland and well‐drained upland habitat. Ambient air concentrations at 1.3‐m height were consistently below 2</w:t>
      </w:r>
      <w:r w:rsidRPr="003C5914">
        <w:rPr>
          <w:rFonts w:ascii="Times New Roman" w:eastAsia="Times New Roman" w:hAnsi="Times New Roman" w:cs="Times New Roman"/>
          <w:i/>
          <w:iCs/>
          <w:color w:val="1C1D1E"/>
        </w:rPr>
        <w:t>μ</w:t>
      </w:r>
      <w:r w:rsidRPr="003C5914">
        <w:rPr>
          <w:rFonts w:ascii="Times New Roman" w:eastAsia="Times New Roman" w:hAnsi="Times New Roman" w:cs="Times New Roman"/>
          <w:color w:val="1C1D1E"/>
        </w:rPr>
        <w:t>L L</w:t>
      </w:r>
      <w:r w:rsidRPr="003C5914">
        <w:rPr>
          <w:rFonts w:ascii="Times New Roman" w:eastAsia="Times New Roman" w:hAnsi="Times New Roman" w:cs="Times New Roman"/>
          <w:color w:val="1C1D1E"/>
          <w:vertAlign w:val="superscript"/>
        </w:rPr>
        <w:t>−1</w:t>
      </w:r>
      <w:r w:rsidRPr="003C5914">
        <w:rPr>
          <w:rFonts w:ascii="Times New Roman" w:eastAsia="Times New Roman" w:hAnsi="Times New Roman" w:cs="Times New Roman"/>
          <w:color w:val="1C1D1E"/>
        </w:rPr>
        <w:t>. Values are means ± 95% CIs; </w:t>
      </w:r>
      <w:r w:rsidRPr="003C5914">
        <w:rPr>
          <w:rFonts w:ascii="Times New Roman" w:eastAsia="Times New Roman" w:hAnsi="Times New Roman" w:cs="Times New Roman"/>
          <w:i/>
          <w:iCs/>
          <w:color w:val="1C1D1E"/>
        </w:rPr>
        <w:t>n</w:t>
      </w:r>
      <w:r w:rsidRPr="003C5914">
        <w:rPr>
          <w:rFonts w:ascii="Times New Roman" w:eastAsia="Times New Roman" w:hAnsi="Times New Roman" w:cs="Times New Roman"/>
          <w:color w:val="1C1D1E"/>
        </w:rPr>
        <w:t> = 5 in upland and 5 or 6 in lowland.</w:t>
      </w:r>
    </w:p>
    <w:p w14:paraId="5365B6C9" w14:textId="77777777" w:rsidR="004E6167" w:rsidRPr="003C5914" w:rsidRDefault="004E6167" w:rsidP="003C5914">
      <w:pPr>
        <w:shd w:val="clear" w:color="auto" w:fill="FFFFFF"/>
        <w:rPr>
          <w:rFonts w:ascii="Times New Roman" w:eastAsia="Times New Roman" w:hAnsi="Times New Roman" w:cs="Times New Roman"/>
          <w:color w:val="1C1D1E"/>
        </w:rPr>
      </w:pPr>
      <w:r w:rsidRPr="003C5914">
        <w:rPr>
          <w:rFonts w:ascii="Times New Roman" w:eastAsia="Times New Roman" w:hAnsi="Times New Roman" w:cs="Times New Roman"/>
          <w:color w:val="1C1D1E"/>
        </w:rPr>
        <w:lastRenderedPageBreak/>
        <w:t>[13] Trunk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concentrations were 2.3‐times greater (</w:t>
      </w:r>
      <w:r w:rsidRPr="003C5914">
        <w:rPr>
          <w:rFonts w:ascii="Times New Roman" w:eastAsia="Times New Roman" w:hAnsi="Times New Roman" w:cs="Times New Roman"/>
          <w:i/>
          <w:iCs/>
          <w:color w:val="1C1D1E"/>
        </w:rPr>
        <w:t>P</w:t>
      </w:r>
      <w:r w:rsidRPr="003C5914">
        <w:rPr>
          <w:rFonts w:ascii="Times New Roman" w:eastAsia="Times New Roman" w:hAnsi="Times New Roman" w:cs="Times New Roman"/>
          <w:color w:val="1C1D1E"/>
        </w:rPr>
        <w:t> = 0.06) in trees of upland habitat, where heart rot is expected to be more prevalent than at lowland sites [</w:t>
      </w:r>
      <w:hyperlink r:id="rId101" w:anchor="grl29360-bib-0003" w:history="1">
        <w:r w:rsidRPr="003C5914">
          <w:rPr>
            <w:rFonts w:ascii="Times New Roman" w:eastAsia="Times New Roman" w:hAnsi="Times New Roman" w:cs="Times New Roman"/>
            <w:b/>
            <w:bCs/>
            <w:i/>
            <w:iCs/>
            <w:color w:val="005293"/>
            <w:u w:val="single"/>
          </w:rPr>
          <w:t>Basham</w:t>
        </w:r>
        <w:r w:rsidRPr="003C5914">
          <w:rPr>
            <w:rFonts w:ascii="Times New Roman" w:eastAsia="Times New Roman" w:hAnsi="Times New Roman" w:cs="Times New Roman"/>
            <w:b/>
            <w:bCs/>
            <w:color w:val="005293"/>
            <w:u w:val="single"/>
          </w:rPr>
          <w:t>, 1973</w:t>
        </w:r>
      </w:hyperlink>
      <w:r w:rsidRPr="003C5914">
        <w:rPr>
          <w:rFonts w:ascii="Times New Roman" w:eastAsia="Times New Roman" w:hAnsi="Times New Roman" w:cs="Times New Roman"/>
          <w:color w:val="1C1D1E"/>
        </w:rPr>
        <w:t>]. More importantly, upland soils typically consume rather than produce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w:t>
      </w:r>
      <w:hyperlink r:id="rId102" w:anchor="grl29360-bib-0009" w:history="1">
        <w:r w:rsidRPr="003C5914">
          <w:rPr>
            <w:rFonts w:ascii="Times New Roman" w:eastAsia="Times New Roman" w:hAnsi="Times New Roman" w:cs="Times New Roman"/>
            <w:b/>
            <w:bCs/>
            <w:i/>
            <w:iCs/>
            <w:color w:val="005293"/>
            <w:u w:val="single"/>
          </w:rPr>
          <w:t>Bradford et al.</w:t>
        </w:r>
        <w:r w:rsidRPr="003C5914">
          <w:rPr>
            <w:rFonts w:ascii="Times New Roman" w:eastAsia="Times New Roman" w:hAnsi="Times New Roman" w:cs="Times New Roman"/>
            <w:b/>
            <w:bCs/>
            <w:color w:val="005293"/>
            <w:u w:val="single"/>
          </w:rPr>
          <w:t>, 2001</w:t>
        </w:r>
      </w:hyperlink>
      <w:r w:rsidRPr="003C5914">
        <w:rPr>
          <w:rFonts w:ascii="Times New Roman" w:eastAsia="Times New Roman" w:hAnsi="Times New Roman" w:cs="Times New Roman"/>
          <w:color w:val="1C1D1E"/>
        </w:rPr>
        <w:t>], suggesting that the bulk of the trunk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was produced internally and did not accumulate via soil‐tree diffusion pathways [</w:t>
      </w:r>
      <w:hyperlink r:id="rId103" w:anchor="grl29360-bib-0046" w:history="1">
        <w:r w:rsidRPr="003C5914">
          <w:rPr>
            <w:rFonts w:ascii="Times New Roman" w:eastAsia="Times New Roman" w:hAnsi="Times New Roman" w:cs="Times New Roman"/>
            <w:b/>
            <w:bCs/>
            <w:i/>
            <w:iCs/>
            <w:color w:val="005293"/>
            <w:u w:val="single"/>
          </w:rPr>
          <w:t>Rice et al.</w:t>
        </w:r>
        <w:r w:rsidRPr="003C5914">
          <w:rPr>
            <w:rFonts w:ascii="Times New Roman" w:eastAsia="Times New Roman" w:hAnsi="Times New Roman" w:cs="Times New Roman"/>
            <w:b/>
            <w:bCs/>
            <w:color w:val="005293"/>
            <w:u w:val="single"/>
          </w:rPr>
          <w:t>, 2010</w:t>
        </w:r>
      </w:hyperlink>
      <w:r w:rsidRPr="003C5914">
        <w:rPr>
          <w:rFonts w:ascii="Times New Roman" w:eastAsia="Times New Roman" w:hAnsi="Times New Roman" w:cs="Times New Roman"/>
          <w:color w:val="1C1D1E"/>
        </w:rPr>
        <w:t>]. Further support for this interpretation was provided when we returned to the upland site in February 2012 and, in 10 red oak individuals, found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concentrations lower at the trunk base (5 cm above the soil) than at 1.3 m (i.e. dbh; mean difference = 9,551 </w:t>
      </w:r>
      <w:r w:rsidRPr="003C5914">
        <w:rPr>
          <w:rFonts w:ascii="Times New Roman" w:eastAsia="Times New Roman" w:hAnsi="Times New Roman" w:cs="Times New Roman"/>
          <w:i/>
          <w:iCs/>
          <w:color w:val="1C1D1E"/>
        </w:rPr>
        <w:t>μ</w:t>
      </w:r>
      <w:r w:rsidRPr="003C5914">
        <w:rPr>
          <w:rFonts w:ascii="Times New Roman" w:eastAsia="Times New Roman" w:hAnsi="Times New Roman" w:cs="Times New Roman"/>
          <w:color w:val="1C1D1E"/>
        </w:rPr>
        <w:t>L L</w:t>
      </w:r>
      <w:r w:rsidRPr="003C5914">
        <w:rPr>
          <w:rFonts w:ascii="Times New Roman" w:eastAsia="Times New Roman" w:hAnsi="Times New Roman" w:cs="Times New Roman"/>
          <w:color w:val="1C1D1E"/>
          <w:vertAlign w:val="superscript"/>
        </w:rPr>
        <w:t>−1</w:t>
      </w:r>
      <w:r w:rsidRPr="003C5914">
        <w:rPr>
          <w:rFonts w:ascii="Times New Roman" w:eastAsia="Times New Roman" w:hAnsi="Times New Roman" w:cs="Times New Roman"/>
          <w:color w:val="1C1D1E"/>
        </w:rPr>
        <w:t>, </w:t>
      </w:r>
      <w:r w:rsidRPr="003C5914">
        <w:rPr>
          <w:rFonts w:ascii="Times New Roman" w:eastAsia="Times New Roman" w:hAnsi="Times New Roman" w:cs="Times New Roman"/>
          <w:i/>
          <w:iCs/>
          <w:color w:val="1C1D1E"/>
        </w:rPr>
        <w:t>P</w:t>
      </w:r>
      <w:r w:rsidRPr="003C5914">
        <w:rPr>
          <w:rFonts w:ascii="Times New Roman" w:eastAsia="Times New Roman" w:hAnsi="Times New Roman" w:cs="Times New Roman"/>
          <w:color w:val="1C1D1E"/>
        </w:rPr>
        <w:t> = 0.08). This pattern is opposite to that observed when trees are functioning as conduits for release of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produced in soils [</w:t>
      </w:r>
      <w:hyperlink r:id="rId104" w:anchor="grl29360-bib-0047" w:history="1">
        <w:r w:rsidRPr="003C5914">
          <w:rPr>
            <w:rFonts w:ascii="Times New Roman" w:eastAsia="Times New Roman" w:hAnsi="Times New Roman" w:cs="Times New Roman"/>
            <w:b/>
            <w:bCs/>
            <w:i/>
            <w:iCs/>
            <w:color w:val="005293"/>
            <w:u w:val="single"/>
          </w:rPr>
          <w:t>Rusch and Rennenberg</w:t>
        </w:r>
        <w:r w:rsidRPr="003C5914">
          <w:rPr>
            <w:rFonts w:ascii="Times New Roman" w:eastAsia="Times New Roman" w:hAnsi="Times New Roman" w:cs="Times New Roman"/>
            <w:b/>
            <w:bCs/>
            <w:color w:val="005293"/>
            <w:u w:val="single"/>
          </w:rPr>
          <w:t>, 1998</w:t>
        </w:r>
      </w:hyperlink>
      <w:r w:rsidRPr="003C5914">
        <w:rPr>
          <w:rFonts w:ascii="Times New Roman" w:eastAsia="Times New Roman" w:hAnsi="Times New Roman" w:cs="Times New Roman"/>
          <w:color w:val="1C1D1E"/>
        </w:rPr>
        <w:t>]. Lastly, relative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accumulation in individual trees appeared consistent across seasons, being temporally correlated (log</w:t>
      </w:r>
      <w:r w:rsidRPr="003C5914">
        <w:rPr>
          <w:rFonts w:ascii="Times New Roman" w:eastAsia="Times New Roman" w:hAnsi="Times New Roman" w:cs="Times New Roman"/>
          <w:color w:val="1C1D1E"/>
          <w:vertAlign w:val="subscript"/>
        </w:rPr>
        <w:t>10</w:t>
      </w:r>
      <w:r w:rsidRPr="003C5914">
        <w:rPr>
          <w:rFonts w:ascii="Times New Roman" w:eastAsia="Times New Roman" w:hAnsi="Times New Roman" w:cs="Times New Roman"/>
          <w:color w:val="1C1D1E"/>
        </w:rPr>
        <w:t>[pre‐leaf out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 0.7556*log</w:t>
      </w:r>
      <w:r w:rsidRPr="003C5914">
        <w:rPr>
          <w:rFonts w:ascii="Times New Roman" w:eastAsia="Times New Roman" w:hAnsi="Times New Roman" w:cs="Times New Roman"/>
          <w:color w:val="1C1D1E"/>
          <w:vertAlign w:val="subscript"/>
        </w:rPr>
        <w:t>10</w:t>
      </w:r>
      <w:r w:rsidRPr="003C5914">
        <w:rPr>
          <w:rFonts w:ascii="Times New Roman" w:eastAsia="Times New Roman" w:hAnsi="Times New Roman" w:cs="Times New Roman"/>
          <w:color w:val="1C1D1E"/>
        </w:rPr>
        <w:t>[post‐leaf out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+ 0.8574, </w:t>
      </w:r>
      <w:r w:rsidRPr="003C5914">
        <w:rPr>
          <w:rFonts w:ascii="Times New Roman" w:eastAsia="Times New Roman" w:hAnsi="Times New Roman" w:cs="Times New Roman"/>
          <w:i/>
          <w:iCs/>
          <w:color w:val="1C1D1E"/>
        </w:rPr>
        <w:t>r</w:t>
      </w:r>
      <w:r w:rsidRPr="003C5914">
        <w:rPr>
          <w:rFonts w:ascii="Times New Roman" w:eastAsia="Times New Roman" w:hAnsi="Times New Roman" w:cs="Times New Roman"/>
          <w:color w:val="1C1D1E"/>
          <w:vertAlign w:val="superscript"/>
        </w:rPr>
        <w:t>2</w:t>
      </w:r>
      <w:r w:rsidRPr="003C5914">
        <w:rPr>
          <w:rFonts w:ascii="Times New Roman" w:eastAsia="Times New Roman" w:hAnsi="Times New Roman" w:cs="Times New Roman"/>
          <w:color w:val="1C1D1E"/>
        </w:rPr>
        <w:t> = 0.43, </w:t>
      </w:r>
      <w:r w:rsidRPr="003C5914">
        <w:rPr>
          <w:rFonts w:ascii="Times New Roman" w:eastAsia="Times New Roman" w:hAnsi="Times New Roman" w:cs="Times New Roman"/>
          <w:i/>
          <w:iCs/>
          <w:color w:val="1C1D1E"/>
        </w:rPr>
        <w:t>P</w:t>
      </w:r>
      <w:r w:rsidRPr="003C5914">
        <w:rPr>
          <w:rFonts w:ascii="Times New Roman" w:eastAsia="Times New Roman" w:hAnsi="Times New Roman" w:cs="Times New Roman"/>
          <w:color w:val="1C1D1E"/>
        </w:rPr>
        <w:t>&lt; 0.05) and on average 3.1‐times greater (</w:t>
      </w:r>
      <w:r w:rsidRPr="003C5914">
        <w:rPr>
          <w:rFonts w:ascii="Times New Roman" w:eastAsia="Times New Roman" w:hAnsi="Times New Roman" w:cs="Times New Roman"/>
          <w:i/>
          <w:iCs/>
          <w:color w:val="1C1D1E"/>
        </w:rPr>
        <w:t>P</w:t>
      </w:r>
      <w:r w:rsidRPr="003C5914">
        <w:rPr>
          <w:rFonts w:ascii="Times New Roman" w:eastAsia="Times New Roman" w:hAnsi="Times New Roman" w:cs="Times New Roman"/>
          <w:color w:val="1C1D1E"/>
        </w:rPr>
        <w:t> = 0.083) in summer than spring, following the expected temperature sensitivity of methanogenesis [</w:t>
      </w:r>
      <w:hyperlink r:id="rId105" w:anchor="grl29360-bib-0014" w:history="1">
        <w:r w:rsidRPr="003C5914">
          <w:rPr>
            <w:rFonts w:ascii="Times New Roman" w:eastAsia="Times New Roman" w:hAnsi="Times New Roman" w:cs="Times New Roman"/>
            <w:b/>
            <w:bCs/>
            <w:i/>
            <w:iCs/>
            <w:color w:val="005293"/>
            <w:u w:val="single"/>
          </w:rPr>
          <w:t>Conrad</w:t>
        </w:r>
        <w:r w:rsidRPr="003C5914">
          <w:rPr>
            <w:rFonts w:ascii="Times New Roman" w:eastAsia="Times New Roman" w:hAnsi="Times New Roman" w:cs="Times New Roman"/>
            <w:b/>
            <w:bCs/>
            <w:color w:val="005293"/>
            <w:u w:val="single"/>
          </w:rPr>
          <w:t>, 2009</w:t>
        </w:r>
      </w:hyperlink>
      <w:r w:rsidRPr="003C5914">
        <w:rPr>
          <w:rFonts w:ascii="Times New Roman" w:eastAsia="Times New Roman" w:hAnsi="Times New Roman" w:cs="Times New Roman"/>
          <w:color w:val="1C1D1E"/>
        </w:rPr>
        <w:t>].</w:t>
      </w:r>
    </w:p>
    <w:p w14:paraId="0022204E" w14:textId="77777777" w:rsidR="004E6167" w:rsidRPr="003C5914" w:rsidRDefault="004E6167" w:rsidP="003C5914">
      <w:pPr>
        <w:shd w:val="clear" w:color="auto" w:fill="FFFFFF"/>
        <w:rPr>
          <w:rFonts w:ascii="Times New Roman" w:eastAsia="Times New Roman" w:hAnsi="Times New Roman" w:cs="Times New Roman"/>
          <w:color w:val="1C1D1E"/>
        </w:rPr>
      </w:pPr>
      <w:r w:rsidRPr="003C5914">
        <w:rPr>
          <w:rFonts w:ascii="Times New Roman" w:eastAsia="Times New Roman" w:hAnsi="Times New Roman" w:cs="Times New Roman"/>
          <w:color w:val="1C1D1E"/>
        </w:rPr>
        <w:t>[14] Mean </w:t>
      </w:r>
      <w:r w:rsidRPr="003C5914">
        <w:rPr>
          <w:rFonts w:ascii="Times New Roman" w:eastAsia="Times New Roman" w:hAnsi="Times New Roman" w:cs="Times New Roman"/>
          <w:i/>
          <w:iCs/>
          <w:color w:val="1C1D1E"/>
        </w:rPr>
        <w:t>in situ</w:t>
      </w:r>
      <w:r w:rsidRPr="003C5914">
        <w:rPr>
          <w:rFonts w:ascii="Times New Roman" w:eastAsia="Times New Roman" w:hAnsi="Times New Roman" w:cs="Times New Roman"/>
          <w:color w:val="1C1D1E"/>
        </w:rPr>
        <w:t>diffusion fluxes across all species, estimated from the trunk‐gas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concentrations and lateral gas diffusivity in wood, were 7.1 ± 1.3 </w:t>
      </w:r>
      <w:r w:rsidRPr="003C5914">
        <w:rPr>
          <w:rFonts w:ascii="Times New Roman" w:eastAsia="Times New Roman" w:hAnsi="Times New Roman" w:cs="Times New Roman"/>
          <w:i/>
          <w:iCs/>
          <w:color w:val="1C1D1E"/>
        </w:rPr>
        <w:t>μ</w:t>
      </w:r>
      <w:r w:rsidRPr="003C5914">
        <w:rPr>
          <w:rFonts w:ascii="Times New Roman" w:eastAsia="Times New Roman" w:hAnsi="Times New Roman" w:cs="Times New Roman"/>
          <w:color w:val="1C1D1E"/>
        </w:rPr>
        <w:t>g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m</w:t>
      </w:r>
      <w:r w:rsidRPr="003C5914">
        <w:rPr>
          <w:rFonts w:ascii="Times New Roman" w:eastAsia="Times New Roman" w:hAnsi="Times New Roman" w:cs="Times New Roman"/>
          <w:color w:val="1C1D1E"/>
          <w:vertAlign w:val="superscript"/>
        </w:rPr>
        <w:t>−3</w:t>
      </w:r>
      <w:r w:rsidRPr="003C5914">
        <w:rPr>
          <w:rFonts w:ascii="Times New Roman" w:eastAsia="Times New Roman" w:hAnsi="Times New Roman" w:cs="Times New Roman"/>
          <w:color w:val="1C1D1E"/>
        </w:rPr>
        <w:t> s</w:t>
      </w:r>
      <w:r w:rsidRPr="003C5914">
        <w:rPr>
          <w:rFonts w:ascii="Times New Roman" w:eastAsia="Times New Roman" w:hAnsi="Times New Roman" w:cs="Times New Roman"/>
          <w:color w:val="1C1D1E"/>
          <w:vertAlign w:val="superscript"/>
        </w:rPr>
        <w:t>−1</w:t>
      </w:r>
      <w:r w:rsidRPr="003C5914">
        <w:rPr>
          <w:rFonts w:ascii="Times New Roman" w:eastAsia="Times New Roman" w:hAnsi="Times New Roman" w:cs="Times New Roman"/>
          <w:color w:val="1C1D1E"/>
        </w:rPr>
        <w:t>(mean ± SE, per unit wood volume). Scaling field‐diffusion flux estimates to local field rates, emission rates are 52 ± 9.5 ng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m</w:t>
      </w:r>
      <w:r w:rsidRPr="003C5914">
        <w:rPr>
          <w:rFonts w:ascii="Times New Roman" w:eastAsia="Times New Roman" w:hAnsi="Times New Roman" w:cs="Times New Roman"/>
          <w:color w:val="1C1D1E"/>
          <w:vertAlign w:val="superscript"/>
        </w:rPr>
        <w:t>−2</w:t>
      </w:r>
      <w:r w:rsidRPr="003C5914">
        <w:rPr>
          <w:rFonts w:ascii="Times New Roman" w:eastAsia="Times New Roman" w:hAnsi="Times New Roman" w:cs="Times New Roman"/>
          <w:color w:val="1C1D1E"/>
        </w:rPr>
        <w:t> s</w:t>
      </w:r>
      <w:r w:rsidRPr="003C5914">
        <w:rPr>
          <w:rFonts w:ascii="Times New Roman" w:eastAsia="Times New Roman" w:hAnsi="Times New Roman" w:cs="Times New Roman"/>
          <w:color w:val="1C1D1E"/>
          <w:vertAlign w:val="superscript"/>
        </w:rPr>
        <w:t>−1</w:t>
      </w:r>
      <w:r w:rsidRPr="003C5914">
        <w:rPr>
          <w:rFonts w:ascii="Times New Roman" w:eastAsia="Times New Roman" w:hAnsi="Times New Roman" w:cs="Times New Roman"/>
          <w:color w:val="1C1D1E"/>
        </w:rPr>
        <w:t xml:space="preserve">, respectively. These emissions have a GWP equal to </w:t>
      </w:r>
      <w:r w:rsidRPr="003C5914">
        <w:rPr>
          <w:rFonts w:ascii="Cambria Math" w:eastAsia="Times New Roman" w:hAnsi="Cambria Math" w:cs="Cambria Math"/>
          <w:color w:val="1C1D1E"/>
        </w:rPr>
        <w:t>∼</w:t>
      </w:r>
      <w:r w:rsidRPr="003C5914">
        <w:rPr>
          <w:rFonts w:ascii="Times New Roman" w:eastAsia="Times New Roman" w:hAnsi="Times New Roman" w:cs="Times New Roman"/>
          <w:color w:val="1C1D1E"/>
        </w:rPr>
        <w:t>18% of the carbon these stands likely sequester per annum [</w:t>
      </w:r>
      <w:hyperlink r:id="rId106" w:anchor="grl29360-bib-0035" w:history="1">
        <w:r w:rsidRPr="003C5914">
          <w:rPr>
            <w:rFonts w:ascii="Times New Roman" w:eastAsia="Times New Roman" w:hAnsi="Times New Roman" w:cs="Times New Roman"/>
            <w:b/>
            <w:bCs/>
            <w:i/>
            <w:iCs/>
            <w:color w:val="005293"/>
            <w:u w:val="single"/>
          </w:rPr>
          <w:t>Law et al.</w:t>
        </w:r>
        <w:r w:rsidRPr="003C5914">
          <w:rPr>
            <w:rFonts w:ascii="Times New Roman" w:eastAsia="Times New Roman" w:hAnsi="Times New Roman" w:cs="Times New Roman"/>
            <w:b/>
            <w:bCs/>
            <w:color w:val="005293"/>
            <w:u w:val="single"/>
          </w:rPr>
          <w:t>, 2002</w:t>
        </w:r>
      </w:hyperlink>
      <w:r w:rsidRPr="003C5914">
        <w:rPr>
          <w:rFonts w:ascii="Times New Roman" w:eastAsia="Times New Roman" w:hAnsi="Times New Roman" w:cs="Times New Roman"/>
          <w:color w:val="1C1D1E"/>
        </w:rPr>
        <w:t>], and are of a similar magnitude to annual mean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consumption rates by bacteria (i.e. methanotrophs) in temperate forest upland soils [</w:t>
      </w:r>
      <w:hyperlink r:id="rId107" w:anchor="grl29360-bib-0009" w:history="1">
        <w:r w:rsidRPr="003C5914">
          <w:rPr>
            <w:rFonts w:ascii="Times New Roman" w:eastAsia="Times New Roman" w:hAnsi="Times New Roman" w:cs="Times New Roman"/>
            <w:b/>
            <w:bCs/>
            <w:i/>
            <w:iCs/>
            <w:color w:val="005293"/>
            <w:u w:val="single"/>
          </w:rPr>
          <w:t>Bradford et al.</w:t>
        </w:r>
        <w:r w:rsidRPr="003C5914">
          <w:rPr>
            <w:rFonts w:ascii="Times New Roman" w:eastAsia="Times New Roman" w:hAnsi="Times New Roman" w:cs="Times New Roman"/>
            <w:b/>
            <w:bCs/>
            <w:color w:val="005293"/>
            <w:u w:val="single"/>
          </w:rPr>
          <w:t>, 2001</w:t>
        </w:r>
      </w:hyperlink>
      <w:r w:rsidRPr="003C5914">
        <w:rPr>
          <w:rFonts w:ascii="Times New Roman" w:eastAsia="Times New Roman" w:hAnsi="Times New Roman" w:cs="Times New Roman"/>
          <w:color w:val="1C1D1E"/>
        </w:rPr>
        <w:t>]. The resulting net fluxes are therefore below the minimum detection limit for eddy covariance [</w:t>
      </w:r>
      <w:hyperlink r:id="rId108" w:anchor="grl29360-bib-0033" w:history="1">
        <w:r w:rsidRPr="003C5914">
          <w:rPr>
            <w:rFonts w:ascii="Times New Roman" w:eastAsia="Times New Roman" w:hAnsi="Times New Roman" w:cs="Times New Roman"/>
            <w:b/>
            <w:bCs/>
            <w:i/>
            <w:iCs/>
            <w:color w:val="005293"/>
            <w:u w:val="single"/>
          </w:rPr>
          <w:t>Kroon et al.</w:t>
        </w:r>
        <w:r w:rsidRPr="003C5914">
          <w:rPr>
            <w:rFonts w:ascii="Times New Roman" w:eastAsia="Times New Roman" w:hAnsi="Times New Roman" w:cs="Times New Roman"/>
            <w:b/>
            <w:bCs/>
            <w:color w:val="005293"/>
            <w:u w:val="single"/>
          </w:rPr>
          <w:t>, 2010</w:t>
        </w:r>
      </w:hyperlink>
      <w:r w:rsidRPr="003C5914">
        <w:rPr>
          <w:rFonts w:ascii="Times New Roman" w:eastAsia="Times New Roman" w:hAnsi="Times New Roman" w:cs="Times New Roman"/>
          <w:color w:val="1C1D1E"/>
        </w:rPr>
        <w:t>], providing a parsimonious explanation as to why such measurement approaches have not previously identified this potential source.</w:t>
      </w:r>
    </w:p>
    <w:p w14:paraId="383DF74D" w14:textId="77777777" w:rsidR="004E6167" w:rsidRPr="003C5914" w:rsidRDefault="004E6167" w:rsidP="003C5914">
      <w:pPr>
        <w:shd w:val="clear" w:color="auto" w:fill="FFFFFF"/>
        <w:rPr>
          <w:rFonts w:ascii="Times New Roman" w:eastAsia="Times New Roman" w:hAnsi="Times New Roman" w:cs="Times New Roman"/>
          <w:color w:val="1C1D1E"/>
        </w:rPr>
      </w:pPr>
      <w:r w:rsidRPr="003C5914">
        <w:rPr>
          <w:rFonts w:ascii="Times New Roman" w:eastAsia="Times New Roman" w:hAnsi="Times New Roman" w:cs="Times New Roman"/>
          <w:color w:val="1C1D1E"/>
        </w:rPr>
        <w:t>[15] The production of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by the heart rot pathway questions whether upland forests can be considered a net sink for atmospheric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(through soil consumption). To answer this question, further work is required to refine our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emission estimates and determine their contribution to the global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xml:space="preserve">budget. Specifically, our work was conducted in intermediate‐aged stands in temperate woodland on </w:t>
      </w:r>
      <w:r w:rsidRPr="003C5914">
        <w:rPr>
          <w:rFonts w:ascii="Cambria Math" w:eastAsia="Times New Roman" w:hAnsi="Cambria Math" w:cs="Cambria Math"/>
          <w:color w:val="1C1D1E"/>
        </w:rPr>
        <w:t>∼</w:t>
      </w:r>
      <w:r w:rsidRPr="003C5914">
        <w:rPr>
          <w:rFonts w:ascii="Times New Roman" w:eastAsia="Times New Roman" w:hAnsi="Times New Roman" w:cs="Times New Roman"/>
          <w:color w:val="1C1D1E"/>
        </w:rPr>
        <w:t>60 trees, and applying these rates to large areas would assume similarity across disparate forest types. Instead, susceptibility to fungal decay varies by species, site, age‐class, past management regimes, and between and within individuals [</w:t>
      </w:r>
      <w:hyperlink r:id="rId109" w:anchor="grl29360-bib-0059" w:history="1">
        <w:r w:rsidRPr="003C5914">
          <w:rPr>
            <w:rFonts w:ascii="Times New Roman" w:eastAsia="Times New Roman" w:hAnsi="Times New Roman" w:cs="Times New Roman"/>
            <w:b/>
            <w:bCs/>
            <w:i/>
            <w:iCs/>
            <w:color w:val="005293"/>
            <w:u w:val="single"/>
          </w:rPr>
          <w:t>Wagener and Davidson</w:t>
        </w:r>
        <w:r w:rsidRPr="003C5914">
          <w:rPr>
            <w:rFonts w:ascii="Times New Roman" w:eastAsia="Times New Roman" w:hAnsi="Times New Roman" w:cs="Times New Roman"/>
            <w:b/>
            <w:bCs/>
            <w:color w:val="005293"/>
            <w:u w:val="single"/>
          </w:rPr>
          <w:t>, 1954</w:t>
        </w:r>
      </w:hyperlink>
      <w:r w:rsidRPr="003C5914">
        <w:rPr>
          <w:rFonts w:ascii="Times New Roman" w:eastAsia="Times New Roman" w:hAnsi="Times New Roman" w:cs="Times New Roman"/>
          <w:color w:val="1C1D1E"/>
        </w:rPr>
        <w:t>]. For example, within individuals, heart rot often starts at the base or “butt” of the tree [</w:t>
      </w:r>
      <w:hyperlink r:id="rId110" w:anchor="grl29360-bib-0032" w:history="1">
        <w:r w:rsidRPr="003C5914">
          <w:rPr>
            <w:rFonts w:ascii="Times New Roman" w:eastAsia="Times New Roman" w:hAnsi="Times New Roman" w:cs="Times New Roman"/>
            <w:b/>
            <w:bCs/>
            <w:i/>
            <w:iCs/>
            <w:color w:val="005293"/>
            <w:u w:val="single"/>
          </w:rPr>
          <w:t>Krause and Gagnon</w:t>
        </w:r>
        <w:r w:rsidRPr="003C5914">
          <w:rPr>
            <w:rFonts w:ascii="Times New Roman" w:eastAsia="Times New Roman" w:hAnsi="Times New Roman" w:cs="Times New Roman"/>
            <w:b/>
            <w:bCs/>
            <w:color w:val="005293"/>
            <w:u w:val="single"/>
          </w:rPr>
          <w:t>, 2005</w:t>
        </w:r>
      </w:hyperlink>
      <w:r w:rsidRPr="003C5914">
        <w:rPr>
          <w:rFonts w:ascii="Times New Roman" w:eastAsia="Times New Roman" w:hAnsi="Times New Roman" w:cs="Times New Roman"/>
          <w:color w:val="1C1D1E"/>
        </w:rPr>
        <w:t>; </w:t>
      </w:r>
      <w:hyperlink r:id="rId111" w:anchor="grl29360-bib-0059" w:history="1">
        <w:r w:rsidRPr="003C5914">
          <w:rPr>
            <w:rFonts w:ascii="Times New Roman" w:eastAsia="Times New Roman" w:hAnsi="Times New Roman" w:cs="Times New Roman"/>
            <w:b/>
            <w:bCs/>
            <w:i/>
            <w:iCs/>
            <w:color w:val="005293"/>
            <w:u w:val="single"/>
          </w:rPr>
          <w:t>Wagener and Davidson</w:t>
        </w:r>
        <w:r w:rsidRPr="003C5914">
          <w:rPr>
            <w:rFonts w:ascii="Times New Roman" w:eastAsia="Times New Roman" w:hAnsi="Times New Roman" w:cs="Times New Roman"/>
            <w:b/>
            <w:bCs/>
            <w:color w:val="005293"/>
            <w:u w:val="single"/>
          </w:rPr>
          <w:t>, 1954</w:t>
        </w:r>
      </w:hyperlink>
      <w:r w:rsidRPr="003C5914">
        <w:rPr>
          <w:rFonts w:ascii="Times New Roman" w:eastAsia="Times New Roman" w:hAnsi="Times New Roman" w:cs="Times New Roman"/>
          <w:color w:val="1C1D1E"/>
        </w:rPr>
        <w:t>] but we observed higher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concentrations at 1.3 m height, as opposed to 5 cm above the soil. This is probably because trunk‐gas O</w:t>
      </w:r>
      <w:r w:rsidRPr="003C5914">
        <w:rPr>
          <w:rFonts w:ascii="Times New Roman" w:eastAsia="Times New Roman" w:hAnsi="Times New Roman" w:cs="Times New Roman"/>
          <w:color w:val="1C1D1E"/>
          <w:vertAlign w:val="subscript"/>
        </w:rPr>
        <w:t>2</w:t>
      </w:r>
      <w:r w:rsidRPr="003C5914">
        <w:rPr>
          <w:rFonts w:ascii="Times New Roman" w:eastAsia="Times New Roman" w:hAnsi="Times New Roman" w:cs="Times New Roman"/>
          <w:color w:val="1C1D1E"/>
        </w:rPr>
        <w:t>concentrations are highest at the base and lowest mid‐way up the stem [</w:t>
      </w:r>
      <w:hyperlink r:id="rId112" w:anchor="grl29360-bib-0016" w:history="1">
        <w:r w:rsidRPr="003C5914">
          <w:rPr>
            <w:rFonts w:ascii="Times New Roman" w:eastAsia="Times New Roman" w:hAnsi="Times New Roman" w:cs="Times New Roman"/>
            <w:b/>
            <w:bCs/>
            <w:i/>
            <w:iCs/>
            <w:color w:val="005293"/>
            <w:u w:val="single"/>
          </w:rPr>
          <w:t>Eklund</w:t>
        </w:r>
        <w:r w:rsidRPr="003C5914">
          <w:rPr>
            <w:rFonts w:ascii="Times New Roman" w:eastAsia="Times New Roman" w:hAnsi="Times New Roman" w:cs="Times New Roman"/>
            <w:b/>
            <w:bCs/>
            <w:color w:val="005293"/>
            <w:u w:val="single"/>
          </w:rPr>
          <w:t>, 2000</w:t>
        </w:r>
      </w:hyperlink>
      <w:r w:rsidRPr="003C5914">
        <w:rPr>
          <w:rFonts w:ascii="Times New Roman" w:eastAsia="Times New Roman" w:hAnsi="Times New Roman" w:cs="Times New Roman"/>
          <w:color w:val="1C1D1E"/>
        </w:rPr>
        <w:t>], potentially decoupling extent of heart rot from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production rates. At the stand level, tree age and successional status will likely impact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emissions. For example, age is closely related to the likelihood of heart rot, and older stands generally have higher standing‐wood volumes [</w:t>
      </w:r>
      <w:hyperlink r:id="rId113" w:anchor="grl29360-bib-0022" w:history="1">
        <w:r w:rsidRPr="003C5914">
          <w:rPr>
            <w:rFonts w:ascii="Times New Roman" w:eastAsia="Times New Roman" w:hAnsi="Times New Roman" w:cs="Times New Roman"/>
            <w:b/>
            <w:bCs/>
            <w:i/>
            <w:iCs/>
            <w:color w:val="005293"/>
            <w:u w:val="single"/>
          </w:rPr>
          <w:t>Hennon</w:t>
        </w:r>
        <w:r w:rsidRPr="003C5914">
          <w:rPr>
            <w:rFonts w:ascii="Times New Roman" w:eastAsia="Times New Roman" w:hAnsi="Times New Roman" w:cs="Times New Roman"/>
            <w:b/>
            <w:bCs/>
            <w:color w:val="005293"/>
            <w:u w:val="single"/>
          </w:rPr>
          <w:t>, 1995</w:t>
        </w:r>
      </w:hyperlink>
      <w:r w:rsidRPr="003C5914">
        <w:rPr>
          <w:rFonts w:ascii="Times New Roman" w:eastAsia="Times New Roman" w:hAnsi="Times New Roman" w:cs="Times New Roman"/>
          <w:color w:val="1C1D1E"/>
        </w:rPr>
        <w:t>], meaning older stands will presumably have higher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emissions. Although stand‐level emissions may increase with age (as long as trunk decay remains enclosed within the tree), heart rot is also known to affect younger trees, particularly when subjected to managements such as coppice. Lastly, positive relationships between temperature, moisture and decay rates could result in a latitudinal gradient in forest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production, with tropical biomes – where heart rot can cause as much as 30% loss in merchantable timber volume [</w:t>
      </w:r>
      <w:hyperlink r:id="rId114" w:anchor="grl29360-bib-0020" w:history="1">
        <w:r w:rsidRPr="003C5914">
          <w:rPr>
            <w:rFonts w:ascii="Times New Roman" w:eastAsia="Times New Roman" w:hAnsi="Times New Roman" w:cs="Times New Roman"/>
            <w:b/>
            <w:bCs/>
            <w:i/>
            <w:iCs/>
            <w:color w:val="005293"/>
            <w:u w:val="single"/>
          </w:rPr>
          <w:t>Grogan and Schulze</w:t>
        </w:r>
        <w:r w:rsidRPr="003C5914">
          <w:rPr>
            <w:rFonts w:ascii="Times New Roman" w:eastAsia="Times New Roman" w:hAnsi="Times New Roman" w:cs="Times New Roman"/>
            <w:b/>
            <w:bCs/>
            <w:color w:val="005293"/>
            <w:u w:val="single"/>
          </w:rPr>
          <w:t>, 2008</w:t>
        </w:r>
      </w:hyperlink>
      <w:r w:rsidRPr="003C5914">
        <w:rPr>
          <w:rFonts w:ascii="Times New Roman" w:eastAsia="Times New Roman" w:hAnsi="Times New Roman" w:cs="Times New Roman"/>
          <w:color w:val="1C1D1E"/>
        </w:rPr>
        <w:t>] – having greater emissions than temperate and boreal forests. Such a latitudinal pattern would be consistent with observed atmospheric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concentrations, which are highest above the moist tropics [</w:t>
      </w:r>
      <w:hyperlink r:id="rId115" w:anchor="grl29360-bib-0018" w:history="1">
        <w:r w:rsidRPr="003C5914">
          <w:rPr>
            <w:rFonts w:ascii="Times New Roman" w:eastAsia="Times New Roman" w:hAnsi="Times New Roman" w:cs="Times New Roman"/>
            <w:b/>
            <w:bCs/>
            <w:i/>
            <w:iCs/>
            <w:color w:val="005293"/>
            <w:u w:val="single"/>
          </w:rPr>
          <w:t>Frankenberg et al.</w:t>
        </w:r>
        <w:r w:rsidRPr="003C5914">
          <w:rPr>
            <w:rFonts w:ascii="Times New Roman" w:eastAsia="Times New Roman" w:hAnsi="Times New Roman" w:cs="Times New Roman"/>
            <w:b/>
            <w:bCs/>
            <w:color w:val="005293"/>
            <w:u w:val="single"/>
          </w:rPr>
          <w:t>, 2005</w:t>
        </w:r>
      </w:hyperlink>
      <w:r w:rsidRPr="003C5914">
        <w:rPr>
          <w:rFonts w:ascii="Times New Roman" w:eastAsia="Times New Roman" w:hAnsi="Times New Roman" w:cs="Times New Roman"/>
          <w:color w:val="1C1D1E"/>
        </w:rPr>
        <w:t>].</w:t>
      </w:r>
    </w:p>
    <w:p w14:paraId="3C4509D5" w14:textId="77777777" w:rsidR="004E6167" w:rsidRPr="003C5914" w:rsidRDefault="004E6167" w:rsidP="003C5914">
      <w:pPr>
        <w:shd w:val="clear" w:color="auto" w:fill="FFFFFF"/>
        <w:rPr>
          <w:rFonts w:ascii="Times New Roman" w:eastAsia="Times New Roman" w:hAnsi="Times New Roman" w:cs="Times New Roman"/>
          <w:color w:val="1C1D1E"/>
        </w:rPr>
      </w:pPr>
      <w:r w:rsidRPr="003C5914">
        <w:rPr>
          <w:rFonts w:ascii="Times New Roman" w:eastAsia="Times New Roman" w:hAnsi="Times New Roman" w:cs="Times New Roman"/>
          <w:color w:val="1C1D1E"/>
        </w:rPr>
        <w:lastRenderedPageBreak/>
        <w:t>[16] Our data, uncertainties in global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‐emission sources [</w:t>
      </w:r>
      <w:hyperlink r:id="rId116" w:anchor="grl29360-bib-0021" w:history="1">
        <w:r w:rsidRPr="003C5914">
          <w:rPr>
            <w:rFonts w:ascii="Times New Roman" w:eastAsia="Times New Roman" w:hAnsi="Times New Roman" w:cs="Times New Roman"/>
            <w:b/>
            <w:bCs/>
            <w:i/>
            <w:iCs/>
            <w:color w:val="005293"/>
            <w:u w:val="single"/>
          </w:rPr>
          <w:t>Heimann</w:t>
        </w:r>
        <w:r w:rsidRPr="003C5914">
          <w:rPr>
            <w:rFonts w:ascii="Times New Roman" w:eastAsia="Times New Roman" w:hAnsi="Times New Roman" w:cs="Times New Roman"/>
            <w:b/>
            <w:bCs/>
            <w:color w:val="005293"/>
            <w:u w:val="single"/>
          </w:rPr>
          <w:t>, 2011</w:t>
        </w:r>
      </w:hyperlink>
      <w:r w:rsidRPr="003C5914">
        <w:rPr>
          <w:rFonts w:ascii="Times New Roman" w:eastAsia="Times New Roman" w:hAnsi="Times New Roman" w:cs="Times New Roman"/>
          <w:color w:val="1C1D1E"/>
        </w:rPr>
        <w:t>], the ubiquity of heart rot [</w:t>
      </w:r>
      <w:hyperlink r:id="rId117" w:anchor="grl29360-bib-0059" w:history="1">
        <w:r w:rsidRPr="003C5914">
          <w:rPr>
            <w:rFonts w:ascii="Times New Roman" w:eastAsia="Times New Roman" w:hAnsi="Times New Roman" w:cs="Times New Roman"/>
            <w:b/>
            <w:bCs/>
            <w:i/>
            <w:iCs/>
            <w:color w:val="005293"/>
            <w:u w:val="single"/>
          </w:rPr>
          <w:t>Wagener and Davidson</w:t>
        </w:r>
        <w:r w:rsidRPr="003C5914">
          <w:rPr>
            <w:rFonts w:ascii="Times New Roman" w:eastAsia="Times New Roman" w:hAnsi="Times New Roman" w:cs="Times New Roman"/>
            <w:b/>
            <w:bCs/>
            <w:color w:val="005293"/>
            <w:u w:val="single"/>
          </w:rPr>
          <w:t>, 1954</w:t>
        </w:r>
      </w:hyperlink>
      <w:r w:rsidRPr="003C5914">
        <w:rPr>
          <w:rFonts w:ascii="Times New Roman" w:eastAsia="Times New Roman" w:hAnsi="Times New Roman" w:cs="Times New Roman"/>
          <w:color w:val="1C1D1E"/>
        </w:rPr>
        <w:t>], and the fact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production from heartwood occurs through a known, biological mechanism [</w:t>
      </w:r>
      <w:hyperlink r:id="rId118" w:anchor="grl29360-bib-0005" w:history="1">
        <w:r w:rsidRPr="003C5914">
          <w:rPr>
            <w:rFonts w:ascii="Times New Roman" w:eastAsia="Times New Roman" w:hAnsi="Times New Roman" w:cs="Times New Roman"/>
            <w:b/>
            <w:bCs/>
            <w:i/>
            <w:iCs/>
            <w:color w:val="005293"/>
            <w:u w:val="single"/>
          </w:rPr>
          <w:t>Beckmann et al.</w:t>
        </w:r>
        <w:r w:rsidRPr="003C5914">
          <w:rPr>
            <w:rFonts w:ascii="Times New Roman" w:eastAsia="Times New Roman" w:hAnsi="Times New Roman" w:cs="Times New Roman"/>
            <w:b/>
            <w:bCs/>
            <w:color w:val="005293"/>
            <w:u w:val="single"/>
          </w:rPr>
          <w:t>, 2011</w:t>
        </w:r>
      </w:hyperlink>
      <w:r w:rsidRPr="003C5914">
        <w:rPr>
          <w:rFonts w:ascii="Times New Roman" w:eastAsia="Times New Roman" w:hAnsi="Times New Roman" w:cs="Times New Roman"/>
          <w:color w:val="1C1D1E"/>
        </w:rPr>
        <w:t>; </w:t>
      </w:r>
      <w:hyperlink r:id="rId119" w:anchor="grl29360-bib-0063" w:history="1">
        <w:r w:rsidRPr="003C5914">
          <w:rPr>
            <w:rFonts w:ascii="Times New Roman" w:eastAsia="Times New Roman" w:hAnsi="Times New Roman" w:cs="Times New Roman"/>
            <w:b/>
            <w:bCs/>
            <w:i/>
            <w:iCs/>
            <w:color w:val="005293"/>
            <w:u w:val="single"/>
          </w:rPr>
          <w:t>Zeikus and Ward</w:t>
        </w:r>
        <w:r w:rsidRPr="003C5914">
          <w:rPr>
            <w:rFonts w:ascii="Times New Roman" w:eastAsia="Times New Roman" w:hAnsi="Times New Roman" w:cs="Times New Roman"/>
            <w:b/>
            <w:bCs/>
            <w:color w:val="005293"/>
            <w:u w:val="single"/>
          </w:rPr>
          <w:t>, 1974</w:t>
        </w:r>
      </w:hyperlink>
      <w:r w:rsidRPr="003C5914">
        <w:rPr>
          <w:rFonts w:ascii="Times New Roman" w:eastAsia="Times New Roman" w:hAnsi="Times New Roman" w:cs="Times New Roman"/>
          <w:color w:val="1C1D1E"/>
        </w:rPr>
        <w:t>], makes plausible globally‐significant production of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from living trees via the heart rot pathway. To gain precise global‐scale estimates of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xml:space="preserve">production by living trees through this pathway will require on‐the‐ground assessments of individual trees across all major forest types, </w:t>
      </w:r>
      <w:proofErr w:type="gramStart"/>
      <w:r w:rsidRPr="003C5914">
        <w:rPr>
          <w:rFonts w:ascii="Times New Roman" w:eastAsia="Times New Roman" w:hAnsi="Times New Roman" w:cs="Times New Roman"/>
          <w:color w:val="1C1D1E"/>
        </w:rPr>
        <w:t>managements</w:t>
      </w:r>
      <w:proofErr w:type="gramEnd"/>
      <w:r w:rsidRPr="003C5914">
        <w:rPr>
          <w:rFonts w:ascii="Times New Roman" w:eastAsia="Times New Roman" w:hAnsi="Times New Roman" w:cs="Times New Roman"/>
          <w:color w:val="1C1D1E"/>
        </w:rPr>
        <w:t xml:space="preserve"> and age classes. Until such work is conducted, uncertainties in the size of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emission sources, and in explanations of temporal and spatial dynamics in global, atmospheric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concentrations, are unlikely to be reduced.</w:t>
      </w:r>
    </w:p>
    <w:p w14:paraId="3F9715D5" w14:textId="77777777" w:rsidR="004E6167" w:rsidRPr="003C5914" w:rsidRDefault="004E6167" w:rsidP="003C5914">
      <w:pPr>
        <w:shd w:val="clear" w:color="auto" w:fill="FFFFFF"/>
        <w:outlineLvl w:val="1"/>
        <w:rPr>
          <w:rFonts w:ascii="Times New Roman" w:eastAsia="Times New Roman" w:hAnsi="Times New Roman" w:cs="Times New Roman"/>
          <w:b/>
          <w:bCs/>
          <w:color w:val="00A185"/>
        </w:rPr>
      </w:pPr>
      <w:r w:rsidRPr="003C5914">
        <w:rPr>
          <w:rFonts w:ascii="Times New Roman" w:eastAsia="Times New Roman" w:hAnsi="Times New Roman" w:cs="Times New Roman"/>
          <w:b/>
          <w:bCs/>
          <w:color w:val="00A185"/>
        </w:rPr>
        <w:t>4. Conclusion</w:t>
      </w:r>
    </w:p>
    <w:p w14:paraId="222D63F9" w14:textId="77777777" w:rsidR="004E6167" w:rsidRPr="003C5914" w:rsidRDefault="004E6167" w:rsidP="003C5914">
      <w:pPr>
        <w:shd w:val="clear" w:color="auto" w:fill="FFFFFF"/>
        <w:rPr>
          <w:rFonts w:ascii="Times New Roman" w:eastAsia="Times New Roman" w:hAnsi="Times New Roman" w:cs="Times New Roman"/>
          <w:color w:val="1C1D1E"/>
        </w:rPr>
      </w:pPr>
      <w:r w:rsidRPr="003C5914">
        <w:rPr>
          <w:rFonts w:ascii="Times New Roman" w:eastAsia="Times New Roman" w:hAnsi="Times New Roman" w:cs="Times New Roman"/>
          <w:color w:val="1C1D1E"/>
        </w:rPr>
        <w:t>[17] The potential for disease to regulate biogeochemical cycling is recognized [</w:t>
      </w:r>
      <w:hyperlink r:id="rId120" w:anchor="grl29360-bib-0025" w:history="1">
        <w:r w:rsidRPr="003C5914">
          <w:rPr>
            <w:rFonts w:ascii="Times New Roman" w:eastAsia="Times New Roman" w:hAnsi="Times New Roman" w:cs="Times New Roman"/>
            <w:b/>
            <w:bCs/>
            <w:i/>
            <w:iCs/>
            <w:color w:val="005293"/>
            <w:u w:val="single"/>
          </w:rPr>
          <w:t>Hudson</w:t>
        </w:r>
        <w:r w:rsidRPr="003C5914">
          <w:rPr>
            <w:rFonts w:ascii="Times New Roman" w:eastAsia="Times New Roman" w:hAnsi="Times New Roman" w:cs="Times New Roman"/>
            <w:b/>
            <w:bCs/>
            <w:color w:val="005293"/>
            <w:u w:val="single"/>
          </w:rPr>
          <w:t>, 2006</w:t>
        </w:r>
      </w:hyperlink>
      <w:r w:rsidRPr="003C5914">
        <w:rPr>
          <w:rFonts w:ascii="Times New Roman" w:eastAsia="Times New Roman" w:hAnsi="Times New Roman" w:cs="Times New Roman"/>
          <w:color w:val="1C1D1E"/>
        </w:rPr>
        <w:t>], but disease of one of the largest, biogenic sinks for carbon – the wood of living trees – has received little to no consideration in how it might affect atmospheric chemistry and associated climate change. Our data reveal trunk‐gas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concentrations many times atmospheric on both lowland and upland sites. The highest concentrations were found for the upland site, and in species known to be susceptible to heart rot, suggesting this disease as the pathway of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production. The common infection of trees by heart rot fungus, and associated bacteria and archaea, has long been a concern of commercial forestry. These findings suggest decay in living trees is also important to biogeochemists and atmospheric scientists seeking to understand the role of forests in the global CH</w:t>
      </w:r>
      <w:r w:rsidRPr="003C5914">
        <w:rPr>
          <w:rFonts w:ascii="Times New Roman" w:eastAsia="Times New Roman" w:hAnsi="Times New Roman" w:cs="Times New Roman"/>
          <w:color w:val="1C1D1E"/>
          <w:vertAlign w:val="subscript"/>
        </w:rPr>
        <w:t>4</w:t>
      </w:r>
      <w:r w:rsidRPr="003C5914">
        <w:rPr>
          <w:rFonts w:ascii="Times New Roman" w:eastAsia="Times New Roman" w:hAnsi="Times New Roman" w:cs="Times New Roman"/>
          <w:color w:val="1C1D1E"/>
        </w:rPr>
        <w:t> budget.</w:t>
      </w:r>
    </w:p>
    <w:p w14:paraId="426107E5" w14:textId="77777777" w:rsidR="004E6167" w:rsidRPr="003C5914" w:rsidRDefault="004E6167" w:rsidP="003C5914">
      <w:pPr>
        <w:shd w:val="clear" w:color="auto" w:fill="FFFFFF"/>
        <w:outlineLvl w:val="1"/>
        <w:rPr>
          <w:rFonts w:ascii="Times New Roman" w:eastAsia="Times New Roman" w:hAnsi="Times New Roman" w:cs="Times New Roman"/>
          <w:b/>
          <w:bCs/>
          <w:color w:val="00A185"/>
        </w:rPr>
      </w:pPr>
      <w:r w:rsidRPr="003C5914">
        <w:rPr>
          <w:rFonts w:ascii="Times New Roman" w:eastAsia="Times New Roman" w:hAnsi="Times New Roman" w:cs="Times New Roman"/>
          <w:b/>
          <w:bCs/>
          <w:color w:val="00A185"/>
        </w:rPr>
        <w:t>Acknowledgments</w:t>
      </w:r>
    </w:p>
    <w:p w14:paraId="1F78BE20" w14:textId="77777777" w:rsidR="004E6167" w:rsidRPr="003C5914" w:rsidRDefault="004E6167" w:rsidP="003C5914">
      <w:pPr>
        <w:shd w:val="clear" w:color="auto" w:fill="FFFFFF"/>
        <w:rPr>
          <w:rFonts w:ascii="Times New Roman" w:eastAsia="Times New Roman" w:hAnsi="Times New Roman" w:cs="Times New Roman"/>
          <w:color w:val="1C1D1E"/>
        </w:rPr>
      </w:pPr>
      <w:r w:rsidRPr="003C5914">
        <w:rPr>
          <w:rFonts w:ascii="Times New Roman" w:eastAsia="Times New Roman" w:hAnsi="Times New Roman" w:cs="Times New Roman"/>
          <w:color w:val="1C1D1E"/>
        </w:rPr>
        <w:t>[18] We thank Mikailah McKee, Matthew Fried, Erin Raboin, Jonathan Loevner, Jonathan Sullivan, and Victoria Lockhart for field assistance, the Director and Managers at the Yale Myers Forest for logistical support, Helmut Ernstberger for technical assistance, and Chad Oliver and the other members of the Greeley LMS Lab for comments on the project. Josh Schimel provided critical feedback on an earlier version of the manuscript. Funding was from the Yale Institute for Biospheric Studies and School of Forestry and Environmental Studies.</w:t>
      </w:r>
    </w:p>
    <w:p w14:paraId="7622949C" w14:textId="77777777" w:rsidR="004E6167" w:rsidRPr="003C5914" w:rsidRDefault="004E6167" w:rsidP="003C5914">
      <w:pPr>
        <w:shd w:val="clear" w:color="auto" w:fill="FFFFFF"/>
        <w:rPr>
          <w:rFonts w:ascii="Times New Roman" w:eastAsia="Times New Roman" w:hAnsi="Times New Roman" w:cs="Times New Roman"/>
          <w:color w:val="1C1D1E"/>
        </w:rPr>
      </w:pPr>
      <w:r w:rsidRPr="003C5914">
        <w:rPr>
          <w:rFonts w:ascii="Times New Roman" w:eastAsia="Times New Roman" w:hAnsi="Times New Roman" w:cs="Times New Roman"/>
          <w:color w:val="1C1D1E"/>
        </w:rPr>
        <w:t>[19] The Editor thanks Timo Vesala and an anonymous reviewer for their assistance in evaluating this paper.</w:t>
      </w:r>
    </w:p>
    <w:p w14:paraId="08DBECBA" w14:textId="4795472F" w:rsidR="00ED7EE4" w:rsidRPr="003C5914" w:rsidRDefault="00ED7EE4" w:rsidP="003C5914">
      <w:pPr>
        <w:rPr>
          <w:rFonts w:ascii="Times New Roman" w:hAnsi="Times New Roman" w:cs="Times New Roman"/>
        </w:rPr>
      </w:pPr>
      <w:r w:rsidRPr="003C5914">
        <w:rPr>
          <w:rFonts w:ascii="Times New Roman" w:hAnsi="Times New Roman" w:cs="Times New Roman"/>
        </w:rPr>
        <w:br w:type="page"/>
      </w:r>
    </w:p>
    <w:p w14:paraId="44D8BC5A" w14:textId="77777777" w:rsidR="004E6167" w:rsidRPr="003C5914" w:rsidRDefault="004E6167" w:rsidP="003C5914">
      <w:pPr>
        <w:rPr>
          <w:rFonts w:ascii="Times New Roman" w:hAnsi="Times New Roman" w:cs="Times New Roman"/>
        </w:rPr>
      </w:pPr>
    </w:p>
    <w:p w14:paraId="4017E111" w14:textId="77777777" w:rsidR="00682289" w:rsidRPr="003C5914" w:rsidRDefault="004E6167" w:rsidP="003C5914">
      <w:pPr>
        <w:shd w:val="clear" w:color="auto" w:fill="FFFFFF"/>
        <w:rPr>
          <w:rFonts w:ascii="Times New Roman" w:hAnsi="Times New Roman" w:cs="Times New Roman"/>
          <w:color w:val="222222"/>
          <w:spacing w:val="-3"/>
          <w:kern w:val="2"/>
          <w:shd w:val="clear" w:color="auto" w:fill="FFFFFF"/>
          <w14:ligatures w14:val="standardContextual"/>
        </w:rPr>
      </w:pPr>
      <w:r w:rsidRPr="003C5914">
        <w:rPr>
          <w:rFonts w:ascii="Times New Roman" w:hAnsi="Times New Roman" w:cs="Times New Roman"/>
        </w:rPr>
        <w:t xml:space="preserve">Enclosure #2 – </w:t>
      </w:r>
      <w:r w:rsidR="00682289" w:rsidRPr="003C5914">
        <w:rPr>
          <w:rFonts w:ascii="Times New Roman" w:eastAsia="Times New Roman" w:hAnsi="Times New Roman" w:cs="Times New Roman"/>
          <w:kern w:val="2"/>
          <w14:ligatures w14:val="standardContextual"/>
        </w:rPr>
        <w:t>Other research regarding methane in decaying trees can be found at:</w:t>
      </w:r>
      <w:r w:rsidR="00682289" w:rsidRPr="003C5914">
        <w:rPr>
          <w:rFonts w:ascii="Times New Roman" w:hAnsi="Times New Roman" w:cs="Times New Roman"/>
          <w:kern w:val="2"/>
          <w14:ligatures w14:val="standardContextual"/>
        </w:rPr>
        <w:t xml:space="preserve"> </w:t>
      </w:r>
      <w:bookmarkStart w:id="1" w:name="_Hlk161574995"/>
      <w:r w:rsidR="00682289" w:rsidRPr="003C5914">
        <w:rPr>
          <w:rFonts w:ascii="Times New Roman" w:hAnsi="Times New Roman" w:cs="Times New Roman"/>
          <w:kern w:val="2"/>
          <w14:ligatures w14:val="standardContextual"/>
        </w:rPr>
        <w:fldChar w:fldCharType="begin"/>
      </w:r>
      <w:r w:rsidR="00682289" w:rsidRPr="003C5914">
        <w:rPr>
          <w:rFonts w:ascii="Times New Roman" w:hAnsi="Times New Roman" w:cs="Times New Roman"/>
          <w:kern w:val="2"/>
          <w14:ligatures w14:val="standardContextual"/>
        </w:rPr>
        <w:instrText>HYPERLINK "https://news.yale.edu/2012/08/08/diseased-trees-are-source-climate-changing-gas"</w:instrText>
      </w:r>
      <w:r w:rsidR="00682289" w:rsidRPr="003C5914">
        <w:rPr>
          <w:rFonts w:ascii="Times New Roman" w:hAnsi="Times New Roman" w:cs="Times New Roman"/>
          <w:kern w:val="2"/>
          <w14:ligatures w14:val="standardContextual"/>
        </w:rPr>
      </w:r>
      <w:r w:rsidR="00682289" w:rsidRPr="003C5914">
        <w:rPr>
          <w:rFonts w:ascii="Times New Roman" w:hAnsi="Times New Roman" w:cs="Times New Roman"/>
          <w:kern w:val="2"/>
          <w14:ligatures w14:val="standardContextual"/>
        </w:rPr>
        <w:fldChar w:fldCharType="separate"/>
      </w:r>
      <w:r w:rsidR="00682289" w:rsidRPr="003C5914">
        <w:rPr>
          <w:rFonts w:ascii="Times New Roman" w:eastAsia="Times New Roman" w:hAnsi="Times New Roman" w:cs="Times New Roman"/>
          <w:color w:val="467886" w:themeColor="hyperlink"/>
          <w:kern w:val="2"/>
          <w:u w:val="single"/>
          <w14:ligatures w14:val="standardContextual"/>
        </w:rPr>
        <w:t>https://news.yale.edu/2012/08/08/diseased-trees-are-source-climate-changing-gas</w:t>
      </w:r>
      <w:r w:rsidR="00682289" w:rsidRPr="003C5914">
        <w:rPr>
          <w:rFonts w:ascii="Times New Roman" w:eastAsia="Times New Roman" w:hAnsi="Times New Roman" w:cs="Times New Roman"/>
          <w:color w:val="467886" w:themeColor="hyperlink"/>
          <w:kern w:val="2"/>
          <w:u w:val="single"/>
          <w14:ligatures w14:val="standardContextual"/>
        </w:rPr>
        <w:fldChar w:fldCharType="end"/>
      </w:r>
      <w:r w:rsidR="00682289" w:rsidRPr="003C5914">
        <w:rPr>
          <w:rFonts w:ascii="Times New Roman" w:eastAsia="Times New Roman" w:hAnsi="Times New Roman" w:cs="Times New Roman"/>
          <w:kern w:val="2"/>
          <w14:ligatures w14:val="standardContextual"/>
        </w:rPr>
        <w:t xml:space="preserve">.  This publication found: </w:t>
      </w:r>
      <w:r w:rsidR="00682289" w:rsidRPr="003C5914">
        <w:rPr>
          <w:rFonts w:ascii="Times New Roman" w:hAnsi="Times New Roman" w:cs="Times New Roman"/>
          <w:color w:val="222222"/>
          <w:spacing w:val="-3"/>
          <w:kern w:val="2"/>
          <w:shd w:val="clear" w:color="auto" w:fill="FFFFFF"/>
          <w14:ligatures w14:val="standardContextual"/>
        </w:rPr>
        <w:t>“If we extrapolate these findings to forests globally, the methane produced in trees represents 10 percent of global emissions.”</w:t>
      </w:r>
    </w:p>
    <w:p w14:paraId="1F72610D" w14:textId="77777777" w:rsidR="00682289" w:rsidRPr="003C5914" w:rsidRDefault="00682289" w:rsidP="003C5914">
      <w:pPr>
        <w:shd w:val="clear" w:color="auto" w:fill="FFFFFF"/>
        <w:rPr>
          <w:rFonts w:ascii="Times New Roman" w:eastAsia="Times New Roman" w:hAnsi="Times New Roman" w:cs="Times New Roman"/>
          <w:color w:val="767676"/>
          <w:kern w:val="2"/>
          <w14:ligatures w14:val="standardContextual"/>
        </w:rPr>
      </w:pPr>
    </w:p>
    <w:bookmarkEnd w:id="1"/>
    <w:p w14:paraId="02C0F1E9" w14:textId="51C08673" w:rsidR="004E6167" w:rsidRPr="003C5914" w:rsidRDefault="00682289" w:rsidP="003C5914">
      <w:pPr>
        <w:rPr>
          <w:rFonts w:ascii="Times New Roman" w:hAnsi="Times New Roman" w:cs="Times New Roman"/>
        </w:rPr>
      </w:pPr>
      <w:r w:rsidRPr="003C5914">
        <w:rPr>
          <w:rFonts w:ascii="Times New Roman" w:hAnsi="Times New Roman" w:cs="Times New Roman"/>
        </w:rPr>
        <w:t xml:space="preserve">Photo of a </w:t>
      </w:r>
      <w:r w:rsidR="004E6167" w:rsidRPr="003C5914">
        <w:rPr>
          <w:rFonts w:ascii="Times New Roman" w:hAnsi="Times New Roman" w:cs="Times New Roman"/>
        </w:rPr>
        <w:t>Methane flare from a decaying standing dead tree</w:t>
      </w:r>
    </w:p>
    <w:p w14:paraId="31151774" w14:textId="77777777" w:rsidR="00ED7EE4" w:rsidRPr="003C5914" w:rsidRDefault="00ED7EE4" w:rsidP="003C5914">
      <w:pPr>
        <w:rPr>
          <w:rFonts w:ascii="Times New Roman" w:hAnsi="Times New Roman" w:cs="Times New Roman"/>
        </w:rPr>
      </w:pPr>
    </w:p>
    <w:p w14:paraId="400A264A" w14:textId="77777777" w:rsidR="001F22F2" w:rsidRPr="003C5914" w:rsidRDefault="001F22F2" w:rsidP="003C5914">
      <w:pPr>
        <w:rPr>
          <w:rFonts w:ascii="Times New Roman" w:hAnsi="Times New Roman" w:cs="Times New Roman"/>
        </w:rPr>
      </w:pPr>
    </w:p>
    <w:p w14:paraId="214CA7B3" w14:textId="41DDCFC7" w:rsidR="001F22F2" w:rsidRPr="003C5914" w:rsidRDefault="001F22F2" w:rsidP="003C5914">
      <w:pPr>
        <w:rPr>
          <w:rFonts w:ascii="Times New Roman" w:hAnsi="Times New Roman" w:cs="Times New Roman"/>
        </w:rPr>
      </w:pPr>
      <w:r w:rsidRPr="003C5914">
        <w:rPr>
          <w:rFonts w:ascii="Times New Roman" w:hAnsi="Times New Roman" w:cs="Times New Roman"/>
          <w:noProof/>
        </w:rPr>
        <w:drawing>
          <wp:inline distT="0" distB="0" distL="0" distR="0" wp14:anchorId="67598AB0" wp14:editId="1C66F8EE">
            <wp:extent cx="6410960" cy="4457700"/>
            <wp:effectExtent l="0" t="0" r="8890" b="0"/>
            <wp:docPr id="86167064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6419355" cy="4463537"/>
                    </a:xfrm>
                    <a:prstGeom prst="rect">
                      <a:avLst/>
                    </a:prstGeom>
                    <a:noFill/>
                  </pic:spPr>
                </pic:pic>
              </a:graphicData>
            </a:graphic>
          </wp:inline>
        </w:drawing>
      </w:r>
    </w:p>
    <w:sectPr w:rsidR="001F22F2" w:rsidRPr="003C5914">
      <w:footerReference w:type="default" r:id="rId122"/>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Cindi Kaneshige" w:date="2024-03-26T11:08:00Z" w:initials="CK">
    <w:p w14:paraId="37542385" w14:textId="77777777" w:rsidR="003C5914" w:rsidRDefault="003C5914" w:rsidP="003C5914">
      <w:pPr>
        <w:pStyle w:val="CommentText"/>
      </w:pPr>
      <w:r>
        <w:rPr>
          <w:rStyle w:val="CommentReference"/>
        </w:rPr>
        <w:annotationRef/>
      </w:r>
      <w:r>
        <w:t>I assume this is page 22 of the north study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54238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A12C21A" w16cex:dateUtc="2024-03-26T1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542385" w16cid:durableId="7A12C21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950AC" w14:textId="77777777" w:rsidR="0039106B" w:rsidRDefault="0039106B" w:rsidP="00864AA7">
      <w:r>
        <w:separator/>
      </w:r>
    </w:p>
  </w:endnote>
  <w:endnote w:type="continuationSeparator" w:id="0">
    <w:p w14:paraId="00E0BB9A" w14:textId="77777777" w:rsidR="0039106B" w:rsidRDefault="0039106B" w:rsidP="00864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5879238"/>
      <w:docPartObj>
        <w:docPartGallery w:val="Page Numbers (Bottom of Page)"/>
        <w:docPartUnique/>
      </w:docPartObj>
    </w:sdtPr>
    <w:sdtEndPr>
      <w:rPr>
        <w:noProof/>
      </w:rPr>
    </w:sdtEndPr>
    <w:sdtContent>
      <w:p w14:paraId="7EA6F839" w14:textId="21A54991" w:rsidR="00864AA7" w:rsidRDefault="00864AA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174DC0D" w14:textId="77777777" w:rsidR="00864AA7" w:rsidRDefault="00864A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B3A22" w14:textId="77777777" w:rsidR="0039106B" w:rsidRDefault="0039106B" w:rsidP="00864AA7">
      <w:r>
        <w:separator/>
      </w:r>
    </w:p>
  </w:footnote>
  <w:footnote w:type="continuationSeparator" w:id="0">
    <w:p w14:paraId="02B1210B" w14:textId="77777777" w:rsidR="0039106B" w:rsidRDefault="0039106B" w:rsidP="00864A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E96F7E"/>
    <w:multiLevelType w:val="multilevel"/>
    <w:tmpl w:val="11C28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147860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di Kaneshige">
    <w15:presenceInfo w15:providerId="AD" w15:userId="S::ckaneshige@amforest.org::b8027748-1ea5-4ada-8676-97a820f1fc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E7D"/>
    <w:rsid w:val="00012B94"/>
    <w:rsid w:val="00062BCD"/>
    <w:rsid w:val="00082A32"/>
    <w:rsid w:val="000C1BBE"/>
    <w:rsid w:val="000D3D46"/>
    <w:rsid w:val="00102A65"/>
    <w:rsid w:val="001F22F2"/>
    <w:rsid w:val="002F71EF"/>
    <w:rsid w:val="0039106B"/>
    <w:rsid w:val="003C5914"/>
    <w:rsid w:val="004E6167"/>
    <w:rsid w:val="005035A7"/>
    <w:rsid w:val="00525083"/>
    <w:rsid w:val="00642737"/>
    <w:rsid w:val="00657A81"/>
    <w:rsid w:val="00663514"/>
    <w:rsid w:val="00664F4F"/>
    <w:rsid w:val="00665B07"/>
    <w:rsid w:val="00682289"/>
    <w:rsid w:val="00692128"/>
    <w:rsid w:val="00737658"/>
    <w:rsid w:val="007D3AC5"/>
    <w:rsid w:val="0080205D"/>
    <w:rsid w:val="00845CDA"/>
    <w:rsid w:val="00864AA7"/>
    <w:rsid w:val="00932249"/>
    <w:rsid w:val="00990F81"/>
    <w:rsid w:val="009D2117"/>
    <w:rsid w:val="00A05B37"/>
    <w:rsid w:val="00A072BF"/>
    <w:rsid w:val="00A755C0"/>
    <w:rsid w:val="00AB2BE6"/>
    <w:rsid w:val="00AE7766"/>
    <w:rsid w:val="00C10E7D"/>
    <w:rsid w:val="00C32EA2"/>
    <w:rsid w:val="00E52A4D"/>
    <w:rsid w:val="00E8381A"/>
    <w:rsid w:val="00ED7EE4"/>
    <w:rsid w:val="00EF05A3"/>
    <w:rsid w:val="00FB7EBE"/>
    <w:rsid w:val="00FD42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A5BF9"/>
  <w15:chartTrackingRefBased/>
  <w15:docId w15:val="{12F20656-CF10-4533-832E-888D48125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0E7D"/>
    <w:pPr>
      <w:spacing w:after="0" w:line="240" w:lineRule="auto"/>
    </w:pPr>
    <w:rPr>
      <w:kern w:val="0"/>
      <w:sz w:val="24"/>
      <w:szCs w:val="24"/>
      <w14:ligatures w14:val="none"/>
    </w:rPr>
  </w:style>
  <w:style w:type="paragraph" w:styleId="Heading1">
    <w:name w:val="heading 1"/>
    <w:basedOn w:val="Normal"/>
    <w:next w:val="Normal"/>
    <w:link w:val="Heading1Char"/>
    <w:uiPriority w:val="9"/>
    <w:qFormat/>
    <w:rsid w:val="00C10E7D"/>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10E7D"/>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10E7D"/>
    <w:pPr>
      <w:keepNext/>
      <w:keepLines/>
      <w:spacing w:before="160" w:after="80" w:line="259"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10E7D"/>
    <w:pPr>
      <w:keepNext/>
      <w:keepLines/>
      <w:spacing w:before="80" w:after="40" w:line="259" w:lineRule="auto"/>
      <w:outlineLvl w:val="3"/>
    </w:pPr>
    <w:rPr>
      <w:rFonts w:eastAsiaTheme="majorEastAsia"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C10E7D"/>
    <w:pPr>
      <w:keepNext/>
      <w:keepLines/>
      <w:spacing w:before="80" w:after="40" w:line="259" w:lineRule="auto"/>
      <w:outlineLvl w:val="4"/>
    </w:pPr>
    <w:rPr>
      <w:rFonts w:eastAsiaTheme="majorEastAsia"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C10E7D"/>
    <w:pPr>
      <w:keepNext/>
      <w:keepLines/>
      <w:spacing w:before="40" w:line="259" w:lineRule="auto"/>
      <w:outlineLvl w:val="5"/>
    </w:pPr>
    <w:rPr>
      <w:rFonts w:eastAsiaTheme="majorEastAsia"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C10E7D"/>
    <w:pPr>
      <w:keepNext/>
      <w:keepLines/>
      <w:spacing w:before="40" w:line="259" w:lineRule="auto"/>
      <w:outlineLvl w:val="6"/>
    </w:pPr>
    <w:rPr>
      <w:rFonts w:eastAsiaTheme="majorEastAsia"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C10E7D"/>
    <w:pPr>
      <w:keepNext/>
      <w:keepLines/>
      <w:spacing w:line="259" w:lineRule="auto"/>
      <w:outlineLvl w:val="7"/>
    </w:pPr>
    <w:rPr>
      <w:rFonts w:eastAsiaTheme="majorEastAsia"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C10E7D"/>
    <w:pPr>
      <w:keepNext/>
      <w:keepLines/>
      <w:spacing w:line="259" w:lineRule="auto"/>
      <w:outlineLvl w:val="8"/>
    </w:pPr>
    <w:rPr>
      <w:rFonts w:eastAsiaTheme="majorEastAsia"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0E7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10E7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10E7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10E7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10E7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10E7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0E7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0E7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0E7D"/>
    <w:rPr>
      <w:rFonts w:eastAsiaTheme="majorEastAsia" w:cstheme="majorBidi"/>
      <w:color w:val="272727" w:themeColor="text1" w:themeTint="D8"/>
    </w:rPr>
  </w:style>
  <w:style w:type="paragraph" w:styleId="Title">
    <w:name w:val="Title"/>
    <w:basedOn w:val="Normal"/>
    <w:next w:val="Normal"/>
    <w:link w:val="TitleChar"/>
    <w:uiPriority w:val="10"/>
    <w:qFormat/>
    <w:rsid w:val="00C10E7D"/>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10E7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0E7D"/>
    <w:pPr>
      <w:numPr>
        <w:ilvl w:val="1"/>
      </w:numPr>
      <w:spacing w:after="160" w:line="259"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10E7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0E7D"/>
    <w:pPr>
      <w:spacing w:before="160" w:after="160" w:line="259" w:lineRule="auto"/>
      <w:jc w:val="center"/>
    </w:pPr>
    <w:rPr>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C10E7D"/>
    <w:rPr>
      <w:i/>
      <w:iCs/>
      <w:color w:val="404040" w:themeColor="text1" w:themeTint="BF"/>
    </w:rPr>
  </w:style>
  <w:style w:type="paragraph" w:styleId="ListParagraph">
    <w:name w:val="List Paragraph"/>
    <w:basedOn w:val="Normal"/>
    <w:uiPriority w:val="34"/>
    <w:qFormat/>
    <w:rsid w:val="00C10E7D"/>
    <w:pPr>
      <w:spacing w:after="160" w:line="259" w:lineRule="auto"/>
      <w:ind w:left="720"/>
      <w:contextualSpacing/>
    </w:pPr>
    <w:rPr>
      <w:kern w:val="2"/>
      <w:sz w:val="22"/>
      <w:szCs w:val="22"/>
      <w14:ligatures w14:val="standardContextual"/>
    </w:rPr>
  </w:style>
  <w:style w:type="character" w:styleId="IntenseEmphasis">
    <w:name w:val="Intense Emphasis"/>
    <w:basedOn w:val="DefaultParagraphFont"/>
    <w:uiPriority w:val="21"/>
    <w:qFormat/>
    <w:rsid w:val="00C10E7D"/>
    <w:rPr>
      <w:i/>
      <w:iCs/>
      <w:color w:val="0F4761" w:themeColor="accent1" w:themeShade="BF"/>
    </w:rPr>
  </w:style>
  <w:style w:type="paragraph" w:styleId="IntenseQuote">
    <w:name w:val="Intense Quote"/>
    <w:basedOn w:val="Normal"/>
    <w:next w:val="Normal"/>
    <w:link w:val="IntenseQuoteChar"/>
    <w:uiPriority w:val="30"/>
    <w:qFormat/>
    <w:rsid w:val="00C10E7D"/>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C10E7D"/>
    <w:rPr>
      <w:i/>
      <w:iCs/>
      <w:color w:val="0F4761" w:themeColor="accent1" w:themeShade="BF"/>
    </w:rPr>
  </w:style>
  <w:style w:type="character" w:styleId="IntenseReference">
    <w:name w:val="Intense Reference"/>
    <w:basedOn w:val="DefaultParagraphFont"/>
    <w:uiPriority w:val="32"/>
    <w:qFormat/>
    <w:rsid w:val="00C10E7D"/>
    <w:rPr>
      <w:b/>
      <w:bCs/>
      <w:smallCaps/>
      <w:color w:val="0F4761" w:themeColor="accent1" w:themeShade="BF"/>
      <w:spacing w:val="5"/>
    </w:rPr>
  </w:style>
  <w:style w:type="paragraph" w:customStyle="1" w:styleId="Default">
    <w:name w:val="Default"/>
    <w:rsid w:val="00990F81"/>
    <w:pPr>
      <w:autoSpaceDE w:val="0"/>
      <w:autoSpaceDN w:val="0"/>
      <w:adjustRightInd w:val="0"/>
      <w:spacing w:after="0" w:line="240" w:lineRule="auto"/>
    </w:pPr>
    <w:rPr>
      <w:rFonts w:ascii="Calibri" w:hAnsi="Calibri" w:cs="Calibri"/>
      <w:color w:val="000000"/>
      <w:kern w:val="0"/>
      <w:sz w:val="24"/>
      <w:szCs w:val="24"/>
    </w:rPr>
  </w:style>
  <w:style w:type="character" w:styleId="Hyperlink">
    <w:name w:val="Hyperlink"/>
    <w:basedOn w:val="DefaultParagraphFont"/>
    <w:uiPriority w:val="99"/>
    <w:unhideWhenUsed/>
    <w:rsid w:val="00682289"/>
    <w:rPr>
      <w:color w:val="467886" w:themeColor="hyperlink"/>
      <w:u w:val="single"/>
    </w:rPr>
  </w:style>
  <w:style w:type="character" w:styleId="UnresolvedMention">
    <w:name w:val="Unresolved Mention"/>
    <w:basedOn w:val="DefaultParagraphFont"/>
    <w:uiPriority w:val="99"/>
    <w:semiHidden/>
    <w:unhideWhenUsed/>
    <w:rsid w:val="00682289"/>
    <w:rPr>
      <w:color w:val="605E5C"/>
      <w:shd w:val="clear" w:color="auto" w:fill="E1DFDD"/>
    </w:rPr>
  </w:style>
  <w:style w:type="paragraph" w:styleId="Header">
    <w:name w:val="header"/>
    <w:basedOn w:val="Normal"/>
    <w:link w:val="HeaderChar"/>
    <w:uiPriority w:val="99"/>
    <w:unhideWhenUsed/>
    <w:rsid w:val="00864AA7"/>
    <w:pPr>
      <w:tabs>
        <w:tab w:val="center" w:pos="4680"/>
        <w:tab w:val="right" w:pos="9360"/>
      </w:tabs>
    </w:pPr>
  </w:style>
  <w:style w:type="character" w:customStyle="1" w:styleId="HeaderChar">
    <w:name w:val="Header Char"/>
    <w:basedOn w:val="DefaultParagraphFont"/>
    <w:link w:val="Header"/>
    <w:uiPriority w:val="99"/>
    <w:rsid w:val="00864AA7"/>
    <w:rPr>
      <w:kern w:val="0"/>
      <w:sz w:val="24"/>
      <w:szCs w:val="24"/>
      <w14:ligatures w14:val="none"/>
    </w:rPr>
  </w:style>
  <w:style w:type="paragraph" w:styleId="Footer">
    <w:name w:val="footer"/>
    <w:basedOn w:val="Normal"/>
    <w:link w:val="FooterChar"/>
    <w:uiPriority w:val="99"/>
    <w:unhideWhenUsed/>
    <w:rsid w:val="00864AA7"/>
    <w:pPr>
      <w:tabs>
        <w:tab w:val="center" w:pos="4680"/>
        <w:tab w:val="right" w:pos="9360"/>
      </w:tabs>
    </w:pPr>
  </w:style>
  <w:style w:type="character" w:customStyle="1" w:styleId="FooterChar">
    <w:name w:val="Footer Char"/>
    <w:basedOn w:val="DefaultParagraphFont"/>
    <w:link w:val="Footer"/>
    <w:uiPriority w:val="99"/>
    <w:rsid w:val="00864AA7"/>
    <w:rPr>
      <w:kern w:val="0"/>
      <w:sz w:val="24"/>
      <w:szCs w:val="24"/>
      <w14:ligatures w14:val="none"/>
    </w:rPr>
  </w:style>
  <w:style w:type="paragraph" w:styleId="Revision">
    <w:name w:val="Revision"/>
    <w:hidden/>
    <w:uiPriority w:val="99"/>
    <w:semiHidden/>
    <w:rsid w:val="00A05B37"/>
    <w:pPr>
      <w:spacing w:after="0" w:line="240" w:lineRule="auto"/>
    </w:pPr>
    <w:rPr>
      <w:kern w:val="0"/>
      <w:sz w:val="24"/>
      <w:szCs w:val="24"/>
      <w14:ligatures w14:val="none"/>
    </w:rPr>
  </w:style>
  <w:style w:type="character" w:styleId="CommentReference">
    <w:name w:val="annotation reference"/>
    <w:basedOn w:val="DefaultParagraphFont"/>
    <w:uiPriority w:val="99"/>
    <w:semiHidden/>
    <w:unhideWhenUsed/>
    <w:rsid w:val="003C5914"/>
    <w:rPr>
      <w:sz w:val="16"/>
      <w:szCs w:val="16"/>
    </w:rPr>
  </w:style>
  <w:style w:type="paragraph" w:styleId="CommentText">
    <w:name w:val="annotation text"/>
    <w:basedOn w:val="Normal"/>
    <w:link w:val="CommentTextChar"/>
    <w:uiPriority w:val="99"/>
    <w:unhideWhenUsed/>
    <w:rsid w:val="003C5914"/>
    <w:rPr>
      <w:sz w:val="20"/>
      <w:szCs w:val="20"/>
    </w:rPr>
  </w:style>
  <w:style w:type="character" w:customStyle="1" w:styleId="CommentTextChar">
    <w:name w:val="Comment Text Char"/>
    <w:basedOn w:val="DefaultParagraphFont"/>
    <w:link w:val="CommentText"/>
    <w:uiPriority w:val="99"/>
    <w:rsid w:val="003C5914"/>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C5914"/>
    <w:rPr>
      <w:b/>
      <w:bCs/>
    </w:rPr>
  </w:style>
  <w:style w:type="character" w:customStyle="1" w:styleId="CommentSubjectChar">
    <w:name w:val="Comment Subject Char"/>
    <w:basedOn w:val="CommentTextChar"/>
    <w:link w:val="CommentSubject"/>
    <w:uiPriority w:val="99"/>
    <w:semiHidden/>
    <w:rsid w:val="003C5914"/>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556469">
      <w:bodyDiv w:val="1"/>
      <w:marLeft w:val="0"/>
      <w:marRight w:val="0"/>
      <w:marTop w:val="0"/>
      <w:marBottom w:val="0"/>
      <w:divBdr>
        <w:top w:val="none" w:sz="0" w:space="0" w:color="auto"/>
        <w:left w:val="none" w:sz="0" w:space="0" w:color="auto"/>
        <w:bottom w:val="none" w:sz="0" w:space="0" w:color="auto"/>
        <w:right w:val="none" w:sz="0" w:space="0" w:color="auto"/>
      </w:divBdr>
    </w:div>
    <w:div w:id="1888299495">
      <w:bodyDiv w:val="1"/>
      <w:marLeft w:val="0"/>
      <w:marRight w:val="0"/>
      <w:marTop w:val="0"/>
      <w:marBottom w:val="0"/>
      <w:divBdr>
        <w:top w:val="none" w:sz="0" w:space="0" w:color="auto"/>
        <w:left w:val="none" w:sz="0" w:space="0" w:color="auto"/>
        <w:bottom w:val="none" w:sz="0" w:space="0" w:color="auto"/>
        <w:right w:val="none" w:sz="0" w:space="0" w:color="auto"/>
      </w:divBdr>
    </w:div>
    <w:div w:id="2147039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agupubs.onlinelibrary.wiley.com/doi/full/10.1029/2012GL052361" TargetMode="External"/><Relationship Id="rId117" Type="http://schemas.openxmlformats.org/officeDocument/2006/relationships/hyperlink" Target="https://agupubs.onlinelibrary.wiley.com/doi/full/10.1029/2012GL052361" TargetMode="External"/><Relationship Id="rId21" Type="http://schemas.openxmlformats.org/officeDocument/2006/relationships/hyperlink" Target="https://doi.org/10.1029/2012GL052361" TargetMode="External"/><Relationship Id="rId42" Type="http://schemas.openxmlformats.org/officeDocument/2006/relationships/hyperlink" Target="https://agupubs.onlinelibrary.wiley.com/doi/full/10.1029/2012GL052361" TargetMode="External"/><Relationship Id="rId47" Type="http://schemas.openxmlformats.org/officeDocument/2006/relationships/hyperlink" Target="https://agupubs.onlinelibrary.wiley.com/doi/full/10.1029/2012GL052361" TargetMode="External"/><Relationship Id="rId63" Type="http://schemas.openxmlformats.org/officeDocument/2006/relationships/hyperlink" Target="https://agupubs.onlinelibrary.wiley.com/doi/full/10.1029/2012GL052361" TargetMode="External"/><Relationship Id="rId68" Type="http://schemas.openxmlformats.org/officeDocument/2006/relationships/hyperlink" Target="https://agupubs.onlinelibrary.wiley.com/doi/full/10.1029/2012GL052361" TargetMode="External"/><Relationship Id="rId84" Type="http://schemas.openxmlformats.org/officeDocument/2006/relationships/hyperlink" Target="https://agupubs.onlinelibrary.wiley.com/doi/full/10.1029/2012GL052361" TargetMode="External"/><Relationship Id="rId89" Type="http://schemas.openxmlformats.org/officeDocument/2006/relationships/hyperlink" Target="https://agupubs.onlinelibrary.wiley.com/doi/full/10.1029/2012GL052361" TargetMode="External"/><Relationship Id="rId112" Type="http://schemas.openxmlformats.org/officeDocument/2006/relationships/hyperlink" Target="https://agupubs.onlinelibrary.wiley.com/doi/full/10.1029/2012GL052361" TargetMode="External"/><Relationship Id="rId16" Type="http://schemas.openxmlformats.org/officeDocument/2006/relationships/hyperlink" Target="https://agupubs.onlinelibrary.wiley.com/action/doSearch?ContribAuthorStored=Covey%2C+Kristofer+R" TargetMode="External"/><Relationship Id="rId107" Type="http://schemas.openxmlformats.org/officeDocument/2006/relationships/hyperlink" Target="https://agupubs.onlinelibrary.wiley.com/doi/full/10.1029/2012GL052361" TargetMode="External"/><Relationship Id="rId11" Type="http://schemas.microsoft.com/office/2011/relationships/commentsExtended" Target="commentsExtended.xml"/><Relationship Id="rId32" Type="http://schemas.openxmlformats.org/officeDocument/2006/relationships/hyperlink" Target="https://agupubs.onlinelibrary.wiley.com/doi/full/10.1029/2012GL052361" TargetMode="External"/><Relationship Id="rId37" Type="http://schemas.openxmlformats.org/officeDocument/2006/relationships/hyperlink" Target="https://agupubs.onlinelibrary.wiley.com/doi/full/10.1029/2012GL052361" TargetMode="External"/><Relationship Id="rId53" Type="http://schemas.openxmlformats.org/officeDocument/2006/relationships/hyperlink" Target="https://agupubs.onlinelibrary.wiley.com/doi/full/10.1029/2012GL052361" TargetMode="External"/><Relationship Id="rId58" Type="http://schemas.openxmlformats.org/officeDocument/2006/relationships/hyperlink" Target="https://agupubs.onlinelibrary.wiley.com/doi/full/10.1029/2012GL052361" TargetMode="External"/><Relationship Id="rId74" Type="http://schemas.openxmlformats.org/officeDocument/2006/relationships/hyperlink" Target="https://agupubs.onlinelibrary.wiley.com/doi/full/10.1029/2012GL052361" TargetMode="External"/><Relationship Id="rId79" Type="http://schemas.openxmlformats.org/officeDocument/2006/relationships/hyperlink" Target="https://agupubs.onlinelibrary.wiley.com/doi/full/10.1029/2012GL052361" TargetMode="External"/><Relationship Id="rId102" Type="http://schemas.openxmlformats.org/officeDocument/2006/relationships/hyperlink" Target="https://agupubs.onlinelibrary.wiley.com/doi/full/10.1029/2012GL052361" TargetMode="External"/><Relationship Id="rId123" Type="http://schemas.openxmlformats.org/officeDocument/2006/relationships/fontTable" Target="fontTable.xml"/><Relationship Id="rId5" Type="http://schemas.openxmlformats.org/officeDocument/2006/relationships/footnotes" Target="footnotes.xml"/><Relationship Id="rId90" Type="http://schemas.openxmlformats.org/officeDocument/2006/relationships/hyperlink" Target="https://agupubs.onlinelibrary.wiley.com/doi/full/10.1029/2012GL052361" TargetMode="External"/><Relationship Id="rId95" Type="http://schemas.openxmlformats.org/officeDocument/2006/relationships/hyperlink" Target="https://agupubs.onlinelibrary.wiley.com/doi/full/10.1029/2012GL052361" TargetMode="External"/><Relationship Id="rId22" Type="http://schemas.openxmlformats.org/officeDocument/2006/relationships/hyperlink" Target="https://agupubs.onlinelibrary.wiley.com/doi/full/10.1029/2012GL052361" TargetMode="External"/><Relationship Id="rId27" Type="http://schemas.openxmlformats.org/officeDocument/2006/relationships/hyperlink" Target="https://agupubs.onlinelibrary.wiley.com/doi/full/10.1029/2012GL052361" TargetMode="External"/><Relationship Id="rId43" Type="http://schemas.openxmlformats.org/officeDocument/2006/relationships/hyperlink" Target="https://agupubs.onlinelibrary.wiley.com/doi/full/10.1029/2012GL052361" TargetMode="External"/><Relationship Id="rId48" Type="http://schemas.openxmlformats.org/officeDocument/2006/relationships/hyperlink" Target="https://agupubs.onlinelibrary.wiley.com/doi/full/10.1029/2012GL052361" TargetMode="External"/><Relationship Id="rId64" Type="http://schemas.openxmlformats.org/officeDocument/2006/relationships/hyperlink" Target="https://agupubs.onlinelibrary.wiley.com/doi/full/10.1029/2012GL052361" TargetMode="External"/><Relationship Id="rId69" Type="http://schemas.openxmlformats.org/officeDocument/2006/relationships/hyperlink" Target="https://agupubs.onlinelibrary.wiley.com/doi/full/10.1029/2012GL052361" TargetMode="External"/><Relationship Id="rId113" Type="http://schemas.openxmlformats.org/officeDocument/2006/relationships/hyperlink" Target="https://agupubs.onlinelibrary.wiley.com/doi/full/10.1029/2012GL052361" TargetMode="External"/><Relationship Id="rId118" Type="http://schemas.openxmlformats.org/officeDocument/2006/relationships/hyperlink" Target="https://agupubs.onlinelibrary.wiley.com/doi/full/10.1029/2012GL052361" TargetMode="External"/><Relationship Id="rId80" Type="http://schemas.openxmlformats.org/officeDocument/2006/relationships/hyperlink" Target="https://agupubs.onlinelibrary.wiley.com/doi/full/10.1029/2012GL052361" TargetMode="External"/><Relationship Id="rId85" Type="http://schemas.openxmlformats.org/officeDocument/2006/relationships/hyperlink" Target="https://agupubs.onlinelibrary.wiley.com/doi/full/10.1029/2012GL052361" TargetMode="External"/><Relationship Id="rId12" Type="http://schemas.microsoft.com/office/2016/09/relationships/commentsIds" Target="commentsIds.xml"/><Relationship Id="rId17" Type="http://schemas.openxmlformats.org/officeDocument/2006/relationships/hyperlink" Target="https://agupubs.onlinelibrary.wiley.com/action/doSearch?ContribAuthorStored=Wood%2C+Stephen+A" TargetMode="External"/><Relationship Id="rId33" Type="http://schemas.openxmlformats.org/officeDocument/2006/relationships/hyperlink" Target="https://agupubs.onlinelibrary.wiley.com/doi/full/10.1029/2012GL052361" TargetMode="External"/><Relationship Id="rId38" Type="http://schemas.openxmlformats.org/officeDocument/2006/relationships/hyperlink" Target="https://agupubs.onlinelibrary.wiley.com/doi/full/10.1029/2012GL052361" TargetMode="External"/><Relationship Id="rId59" Type="http://schemas.openxmlformats.org/officeDocument/2006/relationships/hyperlink" Target="https://agupubs.onlinelibrary.wiley.com/doi/full/10.1029/2012GL052361" TargetMode="External"/><Relationship Id="rId103" Type="http://schemas.openxmlformats.org/officeDocument/2006/relationships/hyperlink" Target="https://agupubs.onlinelibrary.wiley.com/doi/full/10.1029/2012GL052361" TargetMode="External"/><Relationship Id="rId108" Type="http://schemas.openxmlformats.org/officeDocument/2006/relationships/hyperlink" Target="https://agupubs.onlinelibrary.wiley.com/doi/full/10.1029/2012GL052361" TargetMode="External"/><Relationship Id="rId124" Type="http://schemas.microsoft.com/office/2011/relationships/people" Target="people.xml"/><Relationship Id="rId54" Type="http://schemas.openxmlformats.org/officeDocument/2006/relationships/hyperlink" Target="https://agupubs.onlinelibrary.wiley.com/doi/full/10.1029/2012GL052361" TargetMode="External"/><Relationship Id="rId70" Type="http://schemas.openxmlformats.org/officeDocument/2006/relationships/hyperlink" Target="https://agupubs.onlinelibrary.wiley.com/doi/full/10.1029/2012GL052361" TargetMode="External"/><Relationship Id="rId75" Type="http://schemas.openxmlformats.org/officeDocument/2006/relationships/hyperlink" Target="https://agupubs.onlinelibrary.wiley.com/doi/full/10.1029/2012GL052361" TargetMode="External"/><Relationship Id="rId91" Type="http://schemas.openxmlformats.org/officeDocument/2006/relationships/hyperlink" Target="https://agupubs.onlinelibrary.wiley.com/doi/full/10.1029/2012GL052361" TargetMode="External"/><Relationship Id="rId96" Type="http://schemas.openxmlformats.org/officeDocument/2006/relationships/hyperlink" Target="https://agupubs.onlinelibrary.wiley.com/doi/full/10.1029/2012GL052361"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agupubs.onlinelibrary.wiley.com/doi/full/10.1029/2012GL052361" TargetMode="External"/><Relationship Id="rId28" Type="http://schemas.openxmlformats.org/officeDocument/2006/relationships/hyperlink" Target="https://agupubs.onlinelibrary.wiley.com/doi/full/10.1029/2012GL052361" TargetMode="External"/><Relationship Id="rId49" Type="http://schemas.openxmlformats.org/officeDocument/2006/relationships/hyperlink" Target="https://agupubs.onlinelibrary.wiley.com/doi/full/10.1029/2012GL052361" TargetMode="External"/><Relationship Id="rId114" Type="http://schemas.openxmlformats.org/officeDocument/2006/relationships/hyperlink" Target="https://agupubs.onlinelibrary.wiley.com/doi/full/10.1029/2012GL052361" TargetMode="External"/><Relationship Id="rId119" Type="http://schemas.openxmlformats.org/officeDocument/2006/relationships/hyperlink" Target="https://agupubs.onlinelibrary.wiley.com/doi/full/10.1029/2012GL052361" TargetMode="External"/><Relationship Id="rId44" Type="http://schemas.openxmlformats.org/officeDocument/2006/relationships/hyperlink" Target="https://agupubs.onlinelibrary.wiley.com/doi/full/10.1029/2012GL052361" TargetMode="External"/><Relationship Id="rId60" Type="http://schemas.openxmlformats.org/officeDocument/2006/relationships/hyperlink" Target="https://agupubs.onlinelibrary.wiley.com/doi/full/10.1029/2012GL052361" TargetMode="External"/><Relationship Id="rId65" Type="http://schemas.openxmlformats.org/officeDocument/2006/relationships/hyperlink" Target="https://agupubs.onlinelibrary.wiley.com/doi/full/10.1029/2012GL052361" TargetMode="External"/><Relationship Id="rId81" Type="http://schemas.openxmlformats.org/officeDocument/2006/relationships/hyperlink" Target="https://agupubs.onlinelibrary.wiley.com/doi/full/10.1029/2012GL052361" TargetMode="External"/><Relationship Id="rId86" Type="http://schemas.openxmlformats.org/officeDocument/2006/relationships/image" Target="media/image4.gif"/><Relationship Id="rId13" Type="http://schemas.microsoft.com/office/2018/08/relationships/commentsExtensible" Target="commentsExtensible.xml"/><Relationship Id="rId18" Type="http://schemas.openxmlformats.org/officeDocument/2006/relationships/hyperlink" Target="https://agupubs.onlinelibrary.wiley.com/action/doSearch?ContribAuthorStored=Warren%2C+Robert+J" TargetMode="External"/><Relationship Id="rId39" Type="http://schemas.openxmlformats.org/officeDocument/2006/relationships/hyperlink" Target="https://agupubs.onlinelibrary.wiley.com/doi/full/10.1029/2012GL052361" TargetMode="External"/><Relationship Id="rId109" Type="http://schemas.openxmlformats.org/officeDocument/2006/relationships/hyperlink" Target="https://agupubs.onlinelibrary.wiley.com/doi/full/10.1029/2012GL052361" TargetMode="External"/><Relationship Id="rId34" Type="http://schemas.openxmlformats.org/officeDocument/2006/relationships/hyperlink" Target="https://agupubs.onlinelibrary.wiley.com/doi/full/10.1029/2012GL052361" TargetMode="External"/><Relationship Id="rId50" Type="http://schemas.openxmlformats.org/officeDocument/2006/relationships/hyperlink" Target="https://agupubs.onlinelibrary.wiley.com/doi/full/10.1029/2012GL052361" TargetMode="External"/><Relationship Id="rId55" Type="http://schemas.openxmlformats.org/officeDocument/2006/relationships/hyperlink" Target="https://agupubs.onlinelibrary.wiley.com/doi/full/10.1029/2012GL052361" TargetMode="External"/><Relationship Id="rId76" Type="http://schemas.openxmlformats.org/officeDocument/2006/relationships/hyperlink" Target="https://agupubs.onlinelibrary.wiley.com/doi/full/10.1029/2012GL052361" TargetMode="External"/><Relationship Id="rId97" Type="http://schemas.openxmlformats.org/officeDocument/2006/relationships/hyperlink" Target="https://wol-prod-cdn.literatumonline.com/cms/attachment/23a72a51-7651-45fd-8aa0-0b9c322bb87b/grl29360-fig-0001.png" TargetMode="External"/><Relationship Id="rId104" Type="http://schemas.openxmlformats.org/officeDocument/2006/relationships/hyperlink" Target="https://agupubs.onlinelibrary.wiley.com/doi/full/10.1029/2012GL052361" TargetMode="External"/><Relationship Id="rId120" Type="http://schemas.openxmlformats.org/officeDocument/2006/relationships/hyperlink" Target="https://agupubs.onlinelibrary.wiley.com/doi/full/10.1029/2012GL052361" TargetMode="External"/><Relationship Id="rId125" Type="http://schemas.openxmlformats.org/officeDocument/2006/relationships/theme" Target="theme/theme1.xml"/><Relationship Id="rId7" Type="http://schemas.openxmlformats.org/officeDocument/2006/relationships/image" Target="media/image1.png"/><Relationship Id="rId71" Type="http://schemas.openxmlformats.org/officeDocument/2006/relationships/hyperlink" Target="https://agupubs.onlinelibrary.wiley.com/doi/full/10.1029/2012GL052361" TargetMode="External"/><Relationship Id="rId92" Type="http://schemas.openxmlformats.org/officeDocument/2006/relationships/hyperlink" Target="https://agupubs.onlinelibrary.wiley.com/doi/full/10.1029/2012GL052361" TargetMode="External"/><Relationship Id="rId2" Type="http://schemas.openxmlformats.org/officeDocument/2006/relationships/styles" Target="styles.xml"/><Relationship Id="rId29" Type="http://schemas.openxmlformats.org/officeDocument/2006/relationships/hyperlink" Target="https://agupubs.onlinelibrary.wiley.com/doi/full/10.1029/2012GL052361" TargetMode="External"/><Relationship Id="rId24" Type="http://schemas.openxmlformats.org/officeDocument/2006/relationships/hyperlink" Target="https://agupubs.onlinelibrary.wiley.com/doi/full/10.1029/2012GL052361" TargetMode="External"/><Relationship Id="rId40" Type="http://schemas.openxmlformats.org/officeDocument/2006/relationships/hyperlink" Target="https://agupubs.onlinelibrary.wiley.com/doi/full/10.1029/2012GL052361" TargetMode="External"/><Relationship Id="rId45" Type="http://schemas.openxmlformats.org/officeDocument/2006/relationships/hyperlink" Target="https://agupubs.onlinelibrary.wiley.com/doi/full/10.1029/2012GL052361" TargetMode="External"/><Relationship Id="rId66" Type="http://schemas.openxmlformats.org/officeDocument/2006/relationships/hyperlink" Target="https://agupubs.onlinelibrary.wiley.com/doi/full/10.1029/2012GL052361" TargetMode="External"/><Relationship Id="rId87" Type="http://schemas.openxmlformats.org/officeDocument/2006/relationships/hyperlink" Target="https://agupubs.onlinelibrary.wiley.com/doi/full/10.1029/2012GL052361" TargetMode="External"/><Relationship Id="rId110" Type="http://schemas.openxmlformats.org/officeDocument/2006/relationships/hyperlink" Target="https://agupubs.onlinelibrary.wiley.com/doi/full/10.1029/2012GL052361" TargetMode="External"/><Relationship Id="rId115" Type="http://schemas.openxmlformats.org/officeDocument/2006/relationships/hyperlink" Target="https://agupubs.onlinelibrary.wiley.com/doi/full/10.1029/2012GL052361" TargetMode="External"/><Relationship Id="rId61" Type="http://schemas.openxmlformats.org/officeDocument/2006/relationships/hyperlink" Target="https://agupubs.onlinelibrary.wiley.com/doi/full/10.1029/2012GL052361" TargetMode="External"/><Relationship Id="rId82" Type="http://schemas.openxmlformats.org/officeDocument/2006/relationships/hyperlink" Target="https://agupubs.onlinelibrary.wiley.com/doi/full/10.1029/2012GL052361" TargetMode="External"/><Relationship Id="rId19" Type="http://schemas.openxmlformats.org/officeDocument/2006/relationships/hyperlink" Target="https://agupubs.onlinelibrary.wiley.com/action/doSearch?ContribAuthorStored=Lee%2C+Xuhui" TargetMode="External"/><Relationship Id="rId14" Type="http://schemas.openxmlformats.org/officeDocument/2006/relationships/image" Target="media/image3.jpeg"/><Relationship Id="rId30" Type="http://schemas.openxmlformats.org/officeDocument/2006/relationships/hyperlink" Target="https://agupubs.onlinelibrary.wiley.com/doi/full/10.1029/2012GL052361" TargetMode="External"/><Relationship Id="rId35" Type="http://schemas.openxmlformats.org/officeDocument/2006/relationships/hyperlink" Target="https://agupubs.onlinelibrary.wiley.com/doi/full/10.1029/2012GL052361" TargetMode="External"/><Relationship Id="rId56" Type="http://schemas.openxmlformats.org/officeDocument/2006/relationships/hyperlink" Target="https://agupubs.onlinelibrary.wiley.com/doi/full/10.1029/2012GL052361" TargetMode="External"/><Relationship Id="rId77" Type="http://schemas.openxmlformats.org/officeDocument/2006/relationships/hyperlink" Target="https://agupubs.onlinelibrary.wiley.com/doi/full/10.1029/2012GL052361" TargetMode="External"/><Relationship Id="rId100" Type="http://schemas.openxmlformats.org/officeDocument/2006/relationships/hyperlink" Target="https://agupubs.onlinelibrary.wiley.com/action/downloadFigures?id=grl29360-fig-0001&amp;doi=10.1029%2F2012GL052361" TargetMode="External"/><Relationship Id="rId105" Type="http://schemas.openxmlformats.org/officeDocument/2006/relationships/hyperlink" Target="https://agupubs.onlinelibrary.wiley.com/doi/full/10.1029/2012GL052361" TargetMode="External"/><Relationship Id="rId8" Type="http://schemas.openxmlformats.org/officeDocument/2006/relationships/image" Target="media/image2.png"/><Relationship Id="rId51" Type="http://schemas.openxmlformats.org/officeDocument/2006/relationships/hyperlink" Target="https://agupubs.onlinelibrary.wiley.com/doi/full/10.1029/2012GL052361" TargetMode="External"/><Relationship Id="rId72" Type="http://schemas.openxmlformats.org/officeDocument/2006/relationships/hyperlink" Target="https://agupubs.onlinelibrary.wiley.com/doi/full/10.1029/2012GL052361" TargetMode="External"/><Relationship Id="rId93" Type="http://schemas.openxmlformats.org/officeDocument/2006/relationships/hyperlink" Target="https://agupubs.onlinelibrary.wiley.com/doi/full/10.1029/2012GL052361" TargetMode="External"/><Relationship Id="rId98" Type="http://schemas.openxmlformats.org/officeDocument/2006/relationships/image" Target="media/image5.png"/><Relationship Id="rId121" Type="http://schemas.openxmlformats.org/officeDocument/2006/relationships/image" Target="media/image6.png"/><Relationship Id="rId3" Type="http://schemas.openxmlformats.org/officeDocument/2006/relationships/settings" Target="settings.xml"/><Relationship Id="rId25" Type="http://schemas.openxmlformats.org/officeDocument/2006/relationships/hyperlink" Target="https://agupubs.onlinelibrary.wiley.com/doi/full/10.1029/2012GL052361" TargetMode="External"/><Relationship Id="rId46" Type="http://schemas.openxmlformats.org/officeDocument/2006/relationships/hyperlink" Target="https://agupubs.onlinelibrary.wiley.com/doi/full/10.1029/2012GL052361" TargetMode="External"/><Relationship Id="rId67" Type="http://schemas.openxmlformats.org/officeDocument/2006/relationships/hyperlink" Target="https://agupubs.onlinelibrary.wiley.com/doi/full/10.1029/2012GL052361" TargetMode="External"/><Relationship Id="rId116" Type="http://schemas.openxmlformats.org/officeDocument/2006/relationships/hyperlink" Target="https://agupubs.onlinelibrary.wiley.com/doi/full/10.1029/2012GL052361" TargetMode="External"/><Relationship Id="rId20" Type="http://schemas.openxmlformats.org/officeDocument/2006/relationships/hyperlink" Target="https://agupubs.onlinelibrary.wiley.com/action/doSearch?ContribAuthorStored=Bradford%2C+Mark+A" TargetMode="External"/><Relationship Id="rId41" Type="http://schemas.openxmlformats.org/officeDocument/2006/relationships/hyperlink" Target="https://agupubs.onlinelibrary.wiley.com/doi/full/10.1029/2012GL052361" TargetMode="External"/><Relationship Id="rId62" Type="http://schemas.openxmlformats.org/officeDocument/2006/relationships/hyperlink" Target="https://agupubs.onlinelibrary.wiley.com/doi/full/10.1029/2012GL052361" TargetMode="External"/><Relationship Id="rId83" Type="http://schemas.openxmlformats.org/officeDocument/2006/relationships/hyperlink" Target="https://agupubs.onlinelibrary.wiley.com/doi/full/10.1029/2012GL052361" TargetMode="External"/><Relationship Id="rId88" Type="http://schemas.openxmlformats.org/officeDocument/2006/relationships/hyperlink" Target="https://agupubs.onlinelibrary.wiley.com/doi/full/10.1029/2012GL052361" TargetMode="External"/><Relationship Id="rId111" Type="http://schemas.openxmlformats.org/officeDocument/2006/relationships/hyperlink" Target="https://agupubs.onlinelibrary.wiley.com/doi/full/10.1029/2012GL052361" TargetMode="External"/><Relationship Id="rId15" Type="http://schemas.openxmlformats.org/officeDocument/2006/relationships/hyperlink" Target="mailto:steveb@calforests.org" TargetMode="External"/><Relationship Id="rId36" Type="http://schemas.openxmlformats.org/officeDocument/2006/relationships/hyperlink" Target="https://agupubs.onlinelibrary.wiley.com/doi/full/10.1029/2012GL052361" TargetMode="External"/><Relationship Id="rId57" Type="http://schemas.openxmlformats.org/officeDocument/2006/relationships/hyperlink" Target="https://agupubs.onlinelibrary.wiley.com/doi/full/10.1029/2012GL052361" TargetMode="External"/><Relationship Id="rId106" Type="http://schemas.openxmlformats.org/officeDocument/2006/relationships/hyperlink" Target="https://agupubs.onlinelibrary.wiley.com/doi/full/10.1029/2012GL052361" TargetMode="External"/><Relationship Id="rId10" Type="http://schemas.openxmlformats.org/officeDocument/2006/relationships/comments" Target="comments.xml"/><Relationship Id="rId31" Type="http://schemas.openxmlformats.org/officeDocument/2006/relationships/hyperlink" Target="https://agupubs.onlinelibrary.wiley.com/doi/full/10.1029/2012GL052361" TargetMode="External"/><Relationship Id="rId52" Type="http://schemas.openxmlformats.org/officeDocument/2006/relationships/hyperlink" Target="https://agupubs.onlinelibrary.wiley.com/doi/full/10.1029/2012GL052361" TargetMode="External"/><Relationship Id="rId73" Type="http://schemas.openxmlformats.org/officeDocument/2006/relationships/hyperlink" Target="https://agupubs.onlinelibrary.wiley.com/doi/full/10.1029/2012GL052361" TargetMode="External"/><Relationship Id="rId78" Type="http://schemas.openxmlformats.org/officeDocument/2006/relationships/hyperlink" Target="https://agupubs.onlinelibrary.wiley.com/doi/full/10.1029/2012GL052361" TargetMode="External"/><Relationship Id="rId94" Type="http://schemas.openxmlformats.org/officeDocument/2006/relationships/hyperlink" Target="https://agupubs.onlinelibrary.wiley.com/doi/full/10.1029/2012GL052361" TargetMode="External"/><Relationship Id="rId99" Type="http://schemas.openxmlformats.org/officeDocument/2006/relationships/hyperlink" Target="https://agupubs.onlinelibrary.wiley.com/doi/full/10.1029/2012GL052361" TargetMode="External"/><Relationship Id="rId101" Type="http://schemas.openxmlformats.org/officeDocument/2006/relationships/hyperlink" Target="https://agupubs.onlinelibrary.wiley.com/doi/full/10.1029/2012GL052361" TargetMode="External"/><Relationship Id="rId122"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news.yale.edu/2012/08/08/diseased-trees-are-source-climate-changing-g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6308</Words>
  <Characters>35959</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Brink</dc:creator>
  <cp:keywords/>
  <dc:description/>
  <cp:lastModifiedBy>Steven Brink</cp:lastModifiedBy>
  <cp:revision>2</cp:revision>
  <dcterms:created xsi:type="dcterms:W3CDTF">2024-03-26T23:26:00Z</dcterms:created>
  <dcterms:modified xsi:type="dcterms:W3CDTF">2024-03-26T23:26:00Z</dcterms:modified>
</cp:coreProperties>
</file>